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DA126" w14:textId="77777777" w:rsidR="00CB57C5" w:rsidRDefault="00CB57C5" w:rsidP="00CE4F6B">
      <w:pPr>
        <w:pStyle w:val="Cuerpo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Ninguno"/>
          <w:rFonts w:ascii="Calibri" w:eastAsia="Calibri" w:hAnsi="Calibri" w:cs="Calibri"/>
          <w:b/>
          <w:bCs/>
          <w:color w:val="000000" w:themeColor="text1"/>
          <w:sz w:val="26"/>
          <w:szCs w:val="26"/>
          <w:u w:color="385623"/>
        </w:rPr>
      </w:pPr>
    </w:p>
    <w:p w14:paraId="0E0ECBC1" w14:textId="2C80B41A" w:rsidR="00AC282A" w:rsidRPr="00CE4F6B" w:rsidRDefault="00AC282A" w:rsidP="00CE4F6B">
      <w:pPr>
        <w:pStyle w:val="Cuerpo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Style w:val="Ninguno"/>
          <w:rFonts w:ascii="Calibri" w:eastAsia="Calibri" w:hAnsi="Calibri" w:cs="Calibri"/>
          <w:b/>
          <w:bCs/>
          <w:color w:val="000000" w:themeColor="text1"/>
          <w:sz w:val="26"/>
          <w:szCs w:val="26"/>
          <w:u w:color="385623"/>
        </w:rPr>
      </w:pPr>
      <w:r w:rsidRPr="00D06098">
        <w:rPr>
          <w:rStyle w:val="Ninguno"/>
          <w:rFonts w:ascii="Calibri" w:eastAsia="Calibri" w:hAnsi="Calibri" w:cs="Calibri"/>
          <w:b/>
          <w:bCs/>
          <w:color w:val="000000" w:themeColor="text1"/>
          <w:sz w:val="26"/>
          <w:szCs w:val="26"/>
          <w:u w:color="385623"/>
        </w:rPr>
        <w:t>E</w:t>
      </w:r>
      <w:r>
        <w:rPr>
          <w:rStyle w:val="Ninguno"/>
          <w:rFonts w:ascii="Calibri" w:eastAsia="Calibri" w:hAnsi="Calibri" w:cs="Calibri"/>
          <w:b/>
          <w:bCs/>
          <w:color w:val="000000" w:themeColor="text1"/>
          <w:sz w:val="26"/>
          <w:szCs w:val="26"/>
          <w:u w:color="385623"/>
        </w:rPr>
        <w:t>studio sobre la contratación de seguros vinculados a</w:t>
      </w:r>
      <w:r w:rsidRPr="00D06098">
        <w:rPr>
          <w:rStyle w:val="Ninguno"/>
          <w:rFonts w:ascii="Calibri" w:eastAsia="Calibri" w:hAnsi="Calibri" w:cs="Calibri"/>
          <w:b/>
          <w:bCs/>
          <w:color w:val="000000" w:themeColor="text1"/>
          <w:sz w:val="26"/>
          <w:szCs w:val="26"/>
          <w:u w:color="385623"/>
        </w:rPr>
        <w:t xml:space="preserve"> hipotecas y préstamos</w:t>
      </w:r>
      <w:r w:rsidR="00CE4F6B">
        <w:rPr>
          <w:rStyle w:val="Ninguno"/>
          <w:rFonts w:ascii="Calibri" w:eastAsia="Calibri" w:hAnsi="Calibri" w:cs="Calibri"/>
          <w:b/>
          <w:bCs/>
          <w:color w:val="000000" w:themeColor="text1"/>
          <w:sz w:val="26"/>
          <w:szCs w:val="26"/>
          <w:u w:color="385623"/>
        </w:rPr>
        <w:br/>
      </w:r>
    </w:p>
    <w:p w14:paraId="68AB6F12" w14:textId="77777777" w:rsidR="00AC282A" w:rsidRPr="00AC282A" w:rsidRDefault="00AC282A" w:rsidP="00AC282A">
      <w:pPr>
        <w:pStyle w:val="Cuerpo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alibri" w:eastAsia="Times New Roman" w:hAnsi="Calibri" w:cs="Calibri"/>
          <w:b/>
          <w:bCs/>
          <w:color w:val="0000B4"/>
          <w:sz w:val="40"/>
          <w:szCs w:val="40"/>
          <w:bdr w:val="none" w:sz="0" w:space="0" w:color="auto"/>
          <w:lang w:val="es-ES" w:eastAsia="es-ES"/>
        </w:rPr>
      </w:pPr>
      <w:r w:rsidRPr="00AC282A">
        <w:rPr>
          <w:rFonts w:ascii="Calibri" w:eastAsia="Times New Roman" w:hAnsi="Calibri" w:cs="Calibri"/>
          <w:b/>
          <w:bCs/>
          <w:color w:val="0000B4"/>
          <w:sz w:val="40"/>
          <w:szCs w:val="40"/>
          <w:bdr w:val="none" w:sz="0" w:space="0" w:color="auto"/>
          <w:lang w:val="es-ES" w:eastAsia="es-ES"/>
        </w:rPr>
        <w:t>Dos de cada tres solicitantes de créditos creen que están obligados a contratar el seguro con la entidad bancaria</w:t>
      </w:r>
    </w:p>
    <w:p w14:paraId="13D0FC14" w14:textId="77777777" w:rsidR="00AC282A" w:rsidRPr="00B0530D" w:rsidRDefault="00AC282A" w:rsidP="00AC282A">
      <w:pPr>
        <w:pStyle w:val="Cuerpo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Ninguno"/>
          <w:rFonts w:ascii="Calibri" w:eastAsia="Calibri" w:hAnsi="Calibri" w:cs="Calibri"/>
          <w:b/>
          <w:bCs/>
          <w:color w:val="385623"/>
          <w:sz w:val="40"/>
          <w:szCs w:val="40"/>
          <w:u w:color="385623"/>
        </w:rPr>
      </w:pPr>
    </w:p>
    <w:p w14:paraId="53634C61" w14:textId="71E1AB91" w:rsidR="00AC282A" w:rsidRPr="00CE4F6B" w:rsidRDefault="00E40D81" w:rsidP="00AC282A">
      <w:pPr>
        <w:pStyle w:val="CuerpoA"/>
        <w:numPr>
          <w:ilvl w:val="0"/>
          <w:numId w:val="1"/>
        </w:numPr>
        <w:spacing w:after="240"/>
        <w:jc w:val="both"/>
        <w:rPr>
          <w:rStyle w:val="Ninguno"/>
          <w:sz w:val="24"/>
          <w:szCs w:val="24"/>
          <w:lang w:val="es-ES_tradnl"/>
        </w:rPr>
      </w:pPr>
      <w:r>
        <w:rPr>
          <w:rStyle w:val="Ninguno"/>
          <w:sz w:val="24"/>
          <w:szCs w:val="24"/>
          <w:lang w:val="es-ES_tradnl"/>
        </w:rPr>
        <w:t>S</w:t>
      </w:r>
      <w:r w:rsidR="00AC282A" w:rsidRPr="00CE4F6B">
        <w:rPr>
          <w:rStyle w:val="Ninguno"/>
          <w:sz w:val="24"/>
          <w:szCs w:val="24"/>
          <w:lang w:val="es-ES_tradnl"/>
        </w:rPr>
        <w:t xml:space="preserve">eguro de </w:t>
      </w:r>
      <w:r w:rsidR="00F7102E" w:rsidRPr="00CE4F6B">
        <w:rPr>
          <w:rStyle w:val="Ninguno"/>
          <w:sz w:val="24"/>
          <w:szCs w:val="24"/>
          <w:lang w:val="es-ES_tradnl"/>
        </w:rPr>
        <w:t>autos</w:t>
      </w:r>
      <w:r w:rsidR="00AC282A" w:rsidRPr="00CE4F6B">
        <w:rPr>
          <w:rStyle w:val="Ninguno"/>
          <w:sz w:val="24"/>
          <w:szCs w:val="24"/>
          <w:lang w:val="es-ES_tradnl"/>
        </w:rPr>
        <w:t xml:space="preserve"> </w:t>
      </w:r>
      <w:r w:rsidR="00AC282A" w:rsidRPr="006F6C8F">
        <w:rPr>
          <w:rStyle w:val="Ninguno"/>
          <w:sz w:val="24"/>
          <w:szCs w:val="24"/>
          <w:lang w:val="es-ES_tradnl"/>
        </w:rPr>
        <w:t xml:space="preserve">se </w:t>
      </w:r>
      <w:r w:rsidR="00A73B7B" w:rsidRPr="006F6C8F">
        <w:rPr>
          <w:rStyle w:val="Ninguno"/>
          <w:sz w:val="24"/>
          <w:szCs w:val="24"/>
          <w:lang w:val="es-ES_tradnl"/>
        </w:rPr>
        <w:t>ofrece</w:t>
      </w:r>
      <w:r w:rsidR="00AC282A" w:rsidRPr="006F6C8F">
        <w:rPr>
          <w:rStyle w:val="Ninguno"/>
          <w:sz w:val="24"/>
          <w:szCs w:val="24"/>
          <w:lang w:val="es-ES_tradnl"/>
        </w:rPr>
        <w:t xml:space="preserve"> a más</w:t>
      </w:r>
      <w:r w:rsidR="00AC282A" w:rsidRPr="00CE4F6B">
        <w:rPr>
          <w:rStyle w:val="Ninguno"/>
          <w:sz w:val="24"/>
          <w:szCs w:val="24"/>
          <w:lang w:val="es-ES_tradnl"/>
        </w:rPr>
        <w:t xml:space="preserve"> del 20% de las personas que contratan una hipoteca</w:t>
      </w:r>
    </w:p>
    <w:p w14:paraId="2375F929" w14:textId="16EFDB28" w:rsidR="00AC282A" w:rsidRPr="00CE4F6B" w:rsidRDefault="00AC282A" w:rsidP="00CE4F6B">
      <w:pPr>
        <w:pStyle w:val="CuerpoA"/>
        <w:numPr>
          <w:ilvl w:val="0"/>
          <w:numId w:val="1"/>
        </w:numPr>
        <w:spacing w:after="240" w:line="240" w:lineRule="auto"/>
        <w:jc w:val="both"/>
        <w:rPr>
          <w:rStyle w:val="Ninguno"/>
          <w:sz w:val="24"/>
          <w:szCs w:val="24"/>
          <w:lang w:val="es-ES_tradnl"/>
        </w:rPr>
      </w:pPr>
      <w:r w:rsidRPr="00CE4F6B">
        <w:rPr>
          <w:rStyle w:val="Ninguno"/>
          <w:sz w:val="24"/>
          <w:szCs w:val="24"/>
          <w:lang w:val="es-ES_tradnl"/>
        </w:rPr>
        <w:t xml:space="preserve">El 74% de los clientes </w:t>
      </w:r>
      <w:r w:rsidR="002C5A6B" w:rsidRPr="00CE4F6B">
        <w:rPr>
          <w:rStyle w:val="Ninguno"/>
          <w:sz w:val="24"/>
          <w:szCs w:val="24"/>
          <w:lang w:val="es-ES_tradnl"/>
        </w:rPr>
        <w:t>suscribió</w:t>
      </w:r>
      <w:r w:rsidRPr="00CE4F6B">
        <w:rPr>
          <w:rStyle w:val="Ninguno"/>
          <w:sz w:val="24"/>
          <w:szCs w:val="24"/>
          <w:lang w:val="es-ES_tradnl"/>
        </w:rPr>
        <w:t xml:space="preserve"> una póliza comercializada por el banco en el momento de concretar el préstamo en la sucursal</w:t>
      </w:r>
    </w:p>
    <w:p w14:paraId="7FE45E27" w14:textId="77777777" w:rsidR="00AC282A" w:rsidRPr="00CE4F6B" w:rsidRDefault="00AC282A" w:rsidP="00CE4F6B">
      <w:pPr>
        <w:pStyle w:val="CuerpoA"/>
        <w:numPr>
          <w:ilvl w:val="0"/>
          <w:numId w:val="1"/>
        </w:numPr>
        <w:spacing w:after="240" w:line="240" w:lineRule="auto"/>
        <w:jc w:val="both"/>
        <w:rPr>
          <w:rStyle w:val="Ninguno"/>
          <w:sz w:val="24"/>
          <w:szCs w:val="24"/>
          <w:lang w:val="es-ES_tradnl"/>
        </w:rPr>
      </w:pPr>
      <w:r w:rsidRPr="00CE4F6B">
        <w:rPr>
          <w:i/>
          <w:iCs/>
          <w:sz w:val="24"/>
          <w:szCs w:val="24"/>
          <w:lang w:val="es-ES_tradnl"/>
        </w:rPr>
        <w:t xml:space="preserve">“La banca no obliga, </w:t>
      </w:r>
      <w:r w:rsidRPr="00CE4F6B">
        <w:rPr>
          <w:i/>
          <w:iCs/>
          <w:sz w:val="24"/>
          <w:szCs w:val="24"/>
        </w:rPr>
        <w:t>porque sabe que es ilegal, pero sugiere o recomienda la contratación en un contexto de necesidad de crédito”</w:t>
      </w:r>
    </w:p>
    <w:p w14:paraId="76FCEA36" w14:textId="77777777" w:rsidR="00AC282A" w:rsidRPr="002E3A88" w:rsidRDefault="00AC282A" w:rsidP="00AC282A">
      <w:pPr>
        <w:pStyle w:val="CuerpoA"/>
        <w:spacing w:after="240"/>
        <w:ind w:left="927"/>
        <w:jc w:val="both"/>
        <w:rPr>
          <w:rStyle w:val="Ninguno"/>
          <w:sz w:val="13"/>
          <w:szCs w:val="13"/>
          <w:lang w:val="es-ES_tradnl"/>
        </w:rPr>
      </w:pPr>
    </w:p>
    <w:p w14:paraId="2AF20219" w14:textId="0ECBA3EA" w:rsidR="00C52FA2" w:rsidRPr="00DF56D7" w:rsidRDefault="00B1192B" w:rsidP="00D950C1">
      <w:pPr>
        <w:pStyle w:val="NormalWeb"/>
        <w:spacing w:before="0" w:beforeAutospacing="0"/>
        <w:rPr>
          <w:rStyle w:val="Ninguno"/>
          <w:rFonts w:ascii="Calibri" w:hAnsi="Calibri" w:cs="Calibri"/>
          <w:sz w:val="22"/>
          <w:szCs w:val="22"/>
        </w:rPr>
      </w:pPr>
      <w:r>
        <w:rPr>
          <w:rStyle w:val="Ninguno"/>
          <w:rFonts w:ascii="Calibri" w:hAnsi="Calibri" w:cs="Calibri"/>
          <w:b/>
          <w:bCs/>
          <w:i/>
          <w:iCs/>
          <w:color w:val="000000" w:themeColor="text1"/>
          <w:sz w:val="22"/>
          <w:szCs w:val="22"/>
          <w:lang w:val="es-ES_tradnl"/>
        </w:rPr>
        <w:t>14</w:t>
      </w:r>
      <w:r w:rsidR="00AC282A" w:rsidRPr="00CE4F6B">
        <w:rPr>
          <w:rStyle w:val="Ninguno"/>
          <w:rFonts w:ascii="Calibri" w:hAnsi="Calibri" w:cs="Calibri"/>
          <w:b/>
          <w:bCs/>
          <w:i/>
          <w:iCs/>
          <w:sz w:val="22"/>
          <w:szCs w:val="22"/>
          <w:lang w:val="es-ES_tradnl"/>
        </w:rPr>
        <w:t>/0</w:t>
      </w:r>
      <w:r>
        <w:rPr>
          <w:rStyle w:val="Ninguno"/>
          <w:rFonts w:ascii="Calibri" w:hAnsi="Calibri" w:cs="Calibri"/>
          <w:b/>
          <w:bCs/>
          <w:i/>
          <w:iCs/>
          <w:sz w:val="22"/>
          <w:szCs w:val="22"/>
          <w:lang w:val="es-ES_tradnl"/>
        </w:rPr>
        <w:t>7</w:t>
      </w:r>
      <w:r w:rsidR="00AC282A" w:rsidRPr="00CE4F6B">
        <w:rPr>
          <w:rStyle w:val="Ninguno"/>
          <w:rFonts w:ascii="Calibri" w:hAnsi="Calibri" w:cs="Calibri"/>
          <w:b/>
          <w:bCs/>
          <w:i/>
          <w:iCs/>
          <w:sz w:val="22"/>
          <w:szCs w:val="22"/>
          <w:lang w:val="es-ES_tradnl"/>
        </w:rPr>
        <w:t>/2020</w:t>
      </w:r>
      <w:r w:rsidR="00AC282A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.- </w:t>
      </w:r>
      <w:r w:rsidR="00BE476D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El 66% de </w:t>
      </w:r>
      <w:r w:rsidR="00CB57C5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personas</w:t>
      </w:r>
      <w:r w:rsidR="00BE476D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</w:t>
      </w:r>
      <w:r w:rsidR="00CB57C5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que</w:t>
      </w:r>
      <w:r w:rsidR="00C031EA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solicitan una hipoteca o </w:t>
      </w:r>
      <w:r w:rsidR="00CB57C5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préstamo</w:t>
      </w:r>
      <w:r w:rsidR="00736B52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al consumo</w:t>
      </w:r>
      <w:r w:rsidR="00CB57C5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no son informados por los bancos de la posibilidad de contratar la póliza de seguro </w:t>
      </w:r>
      <w:r w:rsidR="000741EE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con</w:t>
      </w:r>
      <w:r w:rsidR="00CB57C5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cualquier </w:t>
      </w:r>
      <w:r w:rsidR="00495790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compañía</w:t>
      </w:r>
      <w:r>
        <w:rPr>
          <w:rStyle w:val="Ninguno"/>
          <w:rFonts w:ascii="Calibri" w:hAnsi="Calibri" w:cs="Calibri"/>
          <w:sz w:val="22"/>
          <w:szCs w:val="22"/>
          <w:lang w:val="es-ES_tradnl"/>
        </w:rPr>
        <w:t>,</w:t>
      </w:r>
      <w:r w:rsidR="00CB57C5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en la creencia de que tienen que hacerlo con la entidad.</w:t>
      </w:r>
      <w:r w:rsidR="00BE476D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</w:t>
      </w:r>
      <w:r w:rsidR="00736B52">
        <w:rPr>
          <w:rStyle w:val="Ninguno"/>
          <w:rFonts w:ascii="Calibri" w:hAnsi="Calibri" w:cs="Calibri"/>
          <w:sz w:val="22"/>
          <w:szCs w:val="22"/>
          <w:lang w:val="es-ES_tradnl"/>
        </w:rPr>
        <w:br/>
      </w:r>
      <w:r w:rsidR="00495790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Además, en 59% de los casos la </w:t>
      </w:r>
      <w:r w:rsidR="000741EE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suscripción</w:t>
      </w:r>
      <w:r w:rsidR="00495790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del seguro fue una condición necesaria para formalizar la concesión de</w:t>
      </w:r>
      <w:r>
        <w:rPr>
          <w:rStyle w:val="Ninguno"/>
          <w:rFonts w:ascii="Calibri" w:hAnsi="Calibri" w:cs="Calibri"/>
          <w:sz w:val="22"/>
          <w:szCs w:val="22"/>
          <w:lang w:val="es-ES_tradnl"/>
        </w:rPr>
        <w:t>l</w:t>
      </w:r>
      <w:r w:rsidR="00495790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préstamo. </w:t>
      </w:r>
      <w:r w:rsidR="00DF56D7" w:rsidRPr="00E25F4A">
        <w:rPr>
          <w:rFonts w:ascii="Calibri" w:hAnsi="Calibri" w:cs="Calibri"/>
          <w:sz w:val="22"/>
          <w:szCs w:val="22"/>
        </w:rPr>
        <w:t>La proporción aumenta al 74% en el caso de las hipotecas y disminuye al 53% en el caso de los préstamos al consumo. De media, solamente un 39% de los encuestados afirma que la contratación de un seguro no fue un a condición necesaria.</w:t>
      </w:r>
      <w:r w:rsidR="00D950C1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br/>
      </w:r>
      <w:r w:rsidR="00D950C1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br/>
      </w:r>
      <w:r w:rsidR="00CB57C5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Esta</w:t>
      </w:r>
      <w:r w:rsidR="00495790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s son algunas de las principales </w:t>
      </w:r>
      <w:r w:rsidR="00CB57C5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conclusiones que se desprenden del</w:t>
      </w:r>
      <w:r w:rsidR="00CB57C5" w:rsidRPr="00CE4F6B">
        <w:rPr>
          <w:sz w:val="22"/>
          <w:szCs w:val="22"/>
        </w:rPr>
        <w:t xml:space="preserve"> </w:t>
      </w:r>
      <w:r w:rsidR="00CB57C5" w:rsidRPr="00CE4F6B">
        <w:rPr>
          <w:rStyle w:val="Ninguno"/>
          <w:rFonts w:ascii="Calibri" w:hAnsi="Calibri" w:cs="Calibri"/>
          <w:b/>
          <w:bCs/>
          <w:i/>
          <w:iCs/>
          <w:sz w:val="22"/>
          <w:szCs w:val="22"/>
          <w:lang w:val="es-ES_tradnl"/>
        </w:rPr>
        <w:t>Estudio sobre la contratación de seguros vinculados a hipotecas y préstamos</w:t>
      </w:r>
      <w:r w:rsidR="00CB57C5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realizado por</w:t>
      </w:r>
      <w:r w:rsidR="00495790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el Consejo General </w:t>
      </w:r>
      <w:r w:rsidR="00CB57C5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de </w:t>
      </w:r>
      <w:r w:rsidR="00495790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Colegios de M</w:t>
      </w:r>
      <w:r w:rsidR="00CB57C5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ediadores</w:t>
      </w:r>
      <w:r w:rsidR="000741EE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, a través de su Escuela de Negocios</w:t>
      </w:r>
      <w:r w:rsidR="00736B52">
        <w:rPr>
          <w:rStyle w:val="Ninguno"/>
          <w:rFonts w:ascii="Calibri" w:hAnsi="Calibri" w:cs="Calibri"/>
          <w:sz w:val="22"/>
          <w:szCs w:val="22"/>
          <w:lang w:val="es-ES_tradnl"/>
        </w:rPr>
        <w:t>,</w:t>
      </w:r>
      <w:r w:rsidR="000741EE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CECAS,</w:t>
      </w:r>
      <w:r w:rsidR="00CB57C5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y la empresa de investigación de mercados GAD3.</w:t>
      </w:r>
      <w:r w:rsidR="00F81EB7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</w:t>
      </w:r>
      <w:r w:rsidR="00495790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La encuesta</w:t>
      </w:r>
      <w:r w:rsidR="00F81EB7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,</w:t>
      </w:r>
      <w:r w:rsidR="00D500C4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</w:t>
      </w:r>
      <w:r w:rsidR="00495790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de </w:t>
      </w:r>
      <w:r w:rsidR="00CC5202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ámbito nacional</w:t>
      </w:r>
      <w:r w:rsidR="00F81EB7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,</w:t>
      </w:r>
      <w:r w:rsidR="00A23ED5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</w:t>
      </w:r>
      <w:r w:rsidR="00495790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se ha realizado en el </w:t>
      </w:r>
      <w:r w:rsidR="00A23ED5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mes de mayo</w:t>
      </w:r>
      <w:r w:rsidR="0091369D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</w:t>
      </w:r>
      <w:r>
        <w:rPr>
          <w:rStyle w:val="Ninguno"/>
          <w:rFonts w:ascii="Calibri" w:hAnsi="Calibri" w:cs="Calibri"/>
          <w:sz w:val="22"/>
          <w:szCs w:val="22"/>
          <w:lang w:val="es-ES_tradnl"/>
        </w:rPr>
        <w:t>entre</w:t>
      </w:r>
      <w:r w:rsidR="0091369D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clientes de banca que han contratado una hipoteca o préstamo </w:t>
      </w:r>
      <w:r w:rsidR="00495790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al </w:t>
      </w:r>
      <w:r w:rsidR="00430E36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consumo en los últimos diez años</w:t>
      </w:r>
      <w:r w:rsidR="00495790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.</w:t>
      </w:r>
    </w:p>
    <w:p w14:paraId="1279FBB2" w14:textId="4C37E89A" w:rsidR="00C52FA2" w:rsidRPr="00CE4F6B" w:rsidRDefault="00F81EB7" w:rsidP="00AC282A">
      <w:pPr>
        <w:pStyle w:val="NormalWeb"/>
        <w:spacing w:before="0" w:beforeAutospacing="0"/>
        <w:jc w:val="both"/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</w:pPr>
      <w:r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Según el estudio</w:t>
      </w:r>
      <w:r w:rsidR="001957CC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,</w:t>
      </w:r>
      <w:r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al </w:t>
      </w:r>
      <w:r w:rsidR="00430E36" w:rsidRP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84% de los </w:t>
      </w:r>
      <w:r w:rsidR="0091031E" w:rsidRP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>entrevistados</w:t>
      </w:r>
      <w:r w:rsidR="00430E36" w:rsidRP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  <w:r w:rsidR="00C64C61" w:rsidRP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>su banco le</w:t>
      </w:r>
      <w:r w:rsidR="001957CC" w:rsidRP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>s</w:t>
      </w:r>
      <w:r w:rsidR="00C64C61" w:rsidRP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 ofreció la posibilidad</w:t>
      </w:r>
      <w:r w:rsidR="00C64C61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de </w:t>
      </w:r>
      <w:r w:rsidR="001957CC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adquirir</w:t>
      </w:r>
      <w:r w:rsidR="00C64C61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un seguro </w:t>
      </w:r>
      <w:r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vinculado</w:t>
      </w:r>
      <w:r w:rsidR="00C64C61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a hipoteca o préstamo personal</w:t>
      </w:r>
      <w:r w:rsidR="004038CE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que</w:t>
      </w:r>
      <w:r w:rsidR="001957CC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, finalmente,</w:t>
      </w:r>
      <w:r w:rsidR="004038CE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se tradujo en</w:t>
      </w:r>
      <w:r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</w:t>
      </w:r>
      <w:r w:rsidR="001957CC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que</w:t>
      </w:r>
      <w:r w:rsidR="00B1192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</w:t>
      </w:r>
      <w:r w:rsidR="001957CC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74% </w:t>
      </w:r>
      <w:r w:rsidR="004038CE" w:rsidRP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>de los clientes contrat</w:t>
      </w:r>
      <w:r w:rsidR="001957CC" w:rsidRP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>ara</w:t>
      </w:r>
      <w:r w:rsidR="004038CE" w:rsidRP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 una póliza comercializada por </w:t>
      </w:r>
      <w:r w:rsidR="001957CC" w:rsidRP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>la entidad.</w:t>
      </w:r>
      <w:r w:rsidR="00C52FA2" w:rsidRP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</w:p>
    <w:p w14:paraId="6BB2DAFD" w14:textId="77777777" w:rsidR="00736B52" w:rsidRDefault="00C34EF2" w:rsidP="0091031E">
      <w:pPr>
        <w:pStyle w:val="NormalWeb"/>
        <w:spacing w:before="0" w:beforeAutospacing="0"/>
        <w:rPr>
          <w:rStyle w:val="Ninguno"/>
          <w:rFonts w:ascii="Calibri" w:hAnsi="Calibri" w:cs="Calibri"/>
          <w:sz w:val="22"/>
          <w:szCs w:val="22"/>
          <w:lang w:val="es-ES_tradnl"/>
        </w:rPr>
      </w:pPr>
      <w:r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Según ha manifestado durante la presentación </w:t>
      </w:r>
      <w:r w:rsidRPr="00736B52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>Javier Barberá</w:t>
      </w:r>
      <w:r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, presidente de la Escuela de Negocios de Seguros, CECAS, “</w:t>
      </w:r>
      <w:r w:rsidRPr="00CE4F6B">
        <w:rPr>
          <w:rStyle w:val="Ninguno"/>
          <w:rFonts w:ascii="Calibri" w:hAnsi="Calibri" w:cs="Calibri"/>
          <w:i/>
          <w:iCs/>
          <w:sz w:val="22"/>
          <w:szCs w:val="22"/>
          <w:lang w:val="es-ES_tradnl"/>
        </w:rPr>
        <w:t>seis años después de nuestro primer estudio comprobamos que la situación se mantiene e incluso se vinculan nuevos ramos de seguros que poco o nada tiene que ver con el crédito, como las pólizas de automóvil. Desde hace tiempo los mediadores hemos detectado prácticas comerciales abusivas e ilegales en la venta de seguros por parte de la banca que van contra la libertad de los clientes</w:t>
      </w:r>
      <w:r w:rsidR="0031364D" w:rsidRPr="00CE4F6B">
        <w:rPr>
          <w:rStyle w:val="Ninguno"/>
          <w:rFonts w:ascii="Calibri" w:hAnsi="Calibri" w:cs="Calibri"/>
          <w:i/>
          <w:iCs/>
          <w:sz w:val="22"/>
          <w:szCs w:val="22"/>
          <w:lang w:val="es-ES_tradnl"/>
        </w:rPr>
        <w:t xml:space="preserve"> y</w:t>
      </w:r>
      <w:r w:rsidRPr="00CE4F6B">
        <w:rPr>
          <w:rStyle w:val="Ninguno"/>
          <w:rFonts w:ascii="Calibri" w:hAnsi="Calibri" w:cs="Calibri"/>
          <w:i/>
          <w:iCs/>
          <w:sz w:val="22"/>
          <w:szCs w:val="22"/>
          <w:lang w:val="es-ES_tradnl"/>
        </w:rPr>
        <w:t xml:space="preserve"> la competencia</w:t>
      </w:r>
      <w:r w:rsidR="0031364D" w:rsidRPr="00CE4F6B">
        <w:rPr>
          <w:rStyle w:val="Ninguno"/>
          <w:rFonts w:ascii="Calibri" w:hAnsi="Calibri" w:cs="Calibri"/>
          <w:i/>
          <w:iCs/>
          <w:sz w:val="22"/>
          <w:szCs w:val="22"/>
          <w:lang w:val="es-ES_tradnl"/>
        </w:rPr>
        <w:t>,</w:t>
      </w:r>
      <w:r w:rsidRPr="00CE4F6B">
        <w:rPr>
          <w:rStyle w:val="Ninguno"/>
          <w:rFonts w:ascii="Calibri" w:hAnsi="Calibri" w:cs="Calibri"/>
          <w:i/>
          <w:iCs/>
          <w:sz w:val="22"/>
          <w:szCs w:val="22"/>
          <w:lang w:val="es-ES_tradnl"/>
        </w:rPr>
        <w:t xml:space="preserve"> </w:t>
      </w:r>
      <w:r w:rsidR="0031364D" w:rsidRPr="00CE4F6B">
        <w:rPr>
          <w:rStyle w:val="Ninguno"/>
          <w:rFonts w:ascii="Calibri" w:hAnsi="Calibri" w:cs="Calibri"/>
          <w:i/>
          <w:iCs/>
          <w:sz w:val="22"/>
          <w:szCs w:val="22"/>
          <w:lang w:val="es-ES_tradnl"/>
        </w:rPr>
        <w:t xml:space="preserve">aprovechando su </w:t>
      </w:r>
      <w:r w:rsidRPr="00CE4F6B">
        <w:rPr>
          <w:rStyle w:val="Ninguno"/>
          <w:rFonts w:ascii="Calibri" w:hAnsi="Calibri" w:cs="Calibri"/>
          <w:i/>
          <w:iCs/>
          <w:sz w:val="22"/>
          <w:szCs w:val="22"/>
          <w:lang w:val="es-ES_tradnl"/>
        </w:rPr>
        <w:t>posición dominante”.</w:t>
      </w:r>
      <w:r w:rsidRPr="00CE4F6B">
        <w:rPr>
          <w:rStyle w:val="Ninguno"/>
          <w:rFonts w:ascii="Calibri" w:hAnsi="Calibri" w:cs="Calibri"/>
          <w:i/>
          <w:iCs/>
          <w:sz w:val="22"/>
          <w:szCs w:val="22"/>
          <w:lang w:val="es-ES_tradnl"/>
        </w:rPr>
        <w:br/>
      </w:r>
      <w:r w:rsidR="00CE4F6B">
        <w:rPr>
          <w:rStyle w:val="Ninguno"/>
          <w:rFonts w:ascii="Calibri" w:hAnsi="Calibri" w:cs="Calibri"/>
          <w:i/>
          <w:iCs/>
          <w:sz w:val="22"/>
          <w:szCs w:val="22"/>
          <w:lang w:val="es-ES_tradnl"/>
        </w:rPr>
        <w:br/>
      </w:r>
      <w:r w:rsidR="001957CC" w:rsidRP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Seguros de auto </w:t>
      </w:r>
      <w:r w:rsidR="00C52FA2" w:rsidRP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>vinculados a</w:t>
      </w:r>
      <w:r w:rsidR="001957CC" w:rsidRP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 hipotecas</w:t>
      </w:r>
      <w:r w:rsidR="00E40D81">
        <w:rPr>
          <w:rStyle w:val="Ninguno"/>
          <w:rFonts w:ascii="Calibri" w:hAnsi="Calibri" w:cs="Calibri"/>
          <w:i/>
          <w:iCs/>
          <w:sz w:val="22"/>
          <w:szCs w:val="22"/>
          <w:lang w:val="es-ES_tradnl"/>
        </w:rPr>
        <w:br/>
      </w:r>
      <w:r w:rsidR="001957CC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En cuanto a ramos</w:t>
      </w:r>
      <w:r w:rsidR="00736B52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</w:t>
      </w:r>
      <w:r w:rsidR="001957CC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comercializados, </w:t>
      </w:r>
      <w:r w:rsidR="0091031E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la encuesta de los mediadores de seguros </w:t>
      </w:r>
      <w:r w:rsidR="001957CC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destaca Vida </w:t>
      </w:r>
      <w:r w:rsidR="0091031E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(72%) seguido de </w:t>
      </w:r>
      <w:r w:rsidR="001957CC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Hogar</w:t>
      </w:r>
      <w:r w:rsidR="0091031E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(59%)</w:t>
      </w:r>
      <w:r w:rsidR="001957CC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como los dos principales</w:t>
      </w:r>
      <w:r w:rsidR="00E40D81">
        <w:rPr>
          <w:rStyle w:val="Ninguno"/>
          <w:rFonts w:ascii="Calibri" w:hAnsi="Calibri" w:cs="Calibri"/>
          <w:sz w:val="22"/>
          <w:szCs w:val="22"/>
          <w:lang w:val="es-ES_tradnl"/>
        </w:rPr>
        <w:t>,</w:t>
      </w:r>
      <w:r w:rsidR="001957CC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si bien</w:t>
      </w:r>
      <w:r w:rsidR="00736B52">
        <w:rPr>
          <w:rStyle w:val="Ninguno"/>
          <w:rFonts w:ascii="Calibri" w:hAnsi="Calibri" w:cs="Calibri"/>
          <w:sz w:val="22"/>
          <w:szCs w:val="22"/>
          <w:lang w:val="es-ES_tradnl"/>
        </w:rPr>
        <w:t>,</w:t>
      </w:r>
      <w:r w:rsidR="001957CC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es llamativo el peso creciente de </w:t>
      </w:r>
      <w:r w:rsidR="00736B52">
        <w:rPr>
          <w:rStyle w:val="Ninguno"/>
          <w:rFonts w:ascii="Calibri" w:hAnsi="Calibri" w:cs="Calibri"/>
          <w:sz w:val="22"/>
          <w:szCs w:val="22"/>
          <w:lang w:val="es-ES_tradnl"/>
        </w:rPr>
        <w:t>A</w:t>
      </w:r>
      <w:r w:rsidR="001957CC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uto</w:t>
      </w:r>
      <w:r w:rsidR="0091031E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, que ya </w:t>
      </w:r>
      <w:r w:rsidR="00E40D81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se </w:t>
      </w:r>
      <w:r w:rsidR="0091031E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sitúa en el 20%.</w:t>
      </w:r>
      <w:r w:rsidR="0091031E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br/>
      </w:r>
    </w:p>
    <w:p w14:paraId="48F69586" w14:textId="77777777" w:rsidR="00736B52" w:rsidRDefault="00736B52" w:rsidP="0091031E">
      <w:pPr>
        <w:pStyle w:val="NormalWeb"/>
        <w:spacing w:before="0" w:beforeAutospacing="0"/>
        <w:rPr>
          <w:rStyle w:val="Ninguno"/>
          <w:rFonts w:ascii="Calibri" w:hAnsi="Calibri" w:cs="Calibri"/>
          <w:sz w:val="22"/>
          <w:szCs w:val="22"/>
          <w:lang w:val="es-ES_tradnl"/>
        </w:rPr>
      </w:pPr>
    </w:p>
    <w:p w14:paraId="137E646E" w14:textId="5B68C314" w:rsidR="000741EE" w:rsidRPr="00736B52" w:rsidRDefault="0091031E" w:rsidP="00736B52">
      <w:pPr>
        <w:pStyle w:val="NormalWeb"/>
        <w:spacing w:before="0" w:beforeAutospacing="0"/>
        <w:rPr>
          <w:rStyle w:val="Ninguno"/>
          <w:rFonts w:ascii="Calibri" w:hAnsi="Calibri" w:cs="Calibri"/>
          <w:i/>
          <w:iCs/>
          <w:sz w:val="22"/>
          <w:szCs w:val="22"/>
          <w:lang w:val="es-ES_tradnl"/>
        </w:rPr>
      </w:pPr>
      <w:r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Atendiendo al tipo de </w:t>
      </w:r>
      <w:r w:rsidR="002C5A6B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crédito, en</w:t>
      </w:r>
      <w:r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el caso de las </w:t>
      </w:r>
      <w:r w:rsidR="00C52FA2" w:rsidRP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>hipoteca</w:t>
      </w:r>
      <w:r w:rsidRP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>s</w:t>
      </w:r>
      <w:r w:rsidR="0031364D" w:rsidRP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>,</w:t>
      </w:r>
      <w:r w:rsidRP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  <w:r w:rsidR="0031364D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Hogar</w:t>
      </w:r>
      <w:r w:rsidR="002B7858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</w:t>
      </w:r>
      <w:r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se vincula </w:t>
      </w:r>
      <w:r w:rsidR="002B7858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en un </w:t>
      </w:r>
      <w:r w:rsidR="0031364D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81</w:t>
      </w:r>
      <w:r w:rsidR="002B7858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% de casos, </w:t>
      </w:r>
      <w:r w:rsidR="0031364D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Vida </w:t>
      </w:r>
      <w:r w:rsidR="009A3982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en </w:t>
      </w:r>
      <w:r w:rsidR="0031364D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71</w:t>
      </w:r>
      <w:r w:rsidR="009A3982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% y </w:t>
      </w:r>
      <w:r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A</w:t>
      </w:r>
      <w:r w:rsidR="00C52FA2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uto</w:t>
      </w:r>
      <w:r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s</w:t>
      </w:r>
      <w:r w:rsidR="00C52FA2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</w:t>
      </w:r>
      <w:r w:rsidR="0031364D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21</w:t>
      </w:r>
      <w:r w:rsidR="009A3982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%. </w:t>
      </w:r>
      <w:r w:rsidR="00E40D81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</w:t>
      </w:r>
      <w:r w:rsidR="009104E6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En los </w:t>
      </w:r>
      <w:r w:rsidR="009104E6" w:rsidRP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>préstamos p</w:t>
      </w:r>
      <w:r w:rsidR="00AA435C" w:rsidRP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>ara el consumo</w:t>
      </w:r>
      <w:r w:rsidR="00AA435C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, </w:t>
      </w:r>
      <w:r w:rsidR="00C52FA2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V</w:t>
      </w:r>
      <w:r w:rsidR="00AA435C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ida </w:t>
      </w:r>
      <w:r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llega al </w:t>
      </w:r>
      <w:r w:rsidR="00AA435C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61</w:t>
      </w:r>
      <w:r w:rsidR="002C5A6B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%,</w:t>
      </w:r>
      <w:r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</w:t>
      </w:r>
      <w:r w:rsidR="00C52FA2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H</w:t>
      </w:r>
      <w:r w:rsidR="00AA435C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ogar</w:t>
      </w:r>
      <w:r w:rsidR="00C52FA2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,</w:t>
      </w:r>
      <w:r w:rsidR="00AA435C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39% y </w:t>
      </w:r>
      <w:r w:rsidR="00C52FA2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Auto</w:t>
      </w:r>
      <w:r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s</w:t>
      </w:r>
      <w:r w:rsidR="00AA435C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en 17%</w:t>
      </w:r>
      <w:r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.</w:t>
      </w:r>
      <w:r w:rsidR="00736B52">
        <w:rPr>
          <w:rStyle w:val="Ninguno"/>
          <w:rFonts w:ascii="Calibri" w:hAnsi="Calibri" w:cs="Calibri"/>
          <w:sz w:val="22"/>
          <w:szCs w:val="22"/>
          <w:lang w:val="es-ES_tradnl"/>
        </w:rPr>
        <w:br/>
      </w:r>
      <w:r w:rsid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br/>
      </w:r>
      <w:r w:rsidR="000741EE" w:rsidRP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>Seguros de larga duración</w:t>
      </w:r>
    </w:p>
    <w:p w14:paraId="0784F583" w14:textId="1B1293DC" w:rsidR="003C78E9" w:rsidRPr="00CE4F6B" w:rsidRDefault="0091031E" w:rsidP="003C78E9">
      <w:pPr>
        <w:rPr>
          <w:rStyle w:val="Ninguno"/>
          <w:rFonts w:ascii="Calibri" w:hAnsi="Calibri" w:cs="Calibri"/>
          <w:sz w:val="22"/>
          <w:szCs w:val="22"/>
          <w:lang w:val="es-ES_tradnl"/>
        </w:rPr>
      </w:pPr>
      <w:r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Un aspecto a tener en cuenta es la</w:t>
      </w:r>
      <w:r w:rsidR="003C78E9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duración de los contratos de seguro </w:t>
      </w:r>
      <w:r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contratados a través de las entidades bancarias. E</w:t>
      </w:r>
      <w:r w:rsidR="003C78E9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l 75% de las personas que </w:t>
      </w:r>
      <w:r w:rsidR="00AA6250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han conseguido una hipoteca o crédito al consumo afirma que s</w:t>
      </w:r>
      <w:r w:rsidR="00AA6250" w:rsidRPr="00CE4F6B">
        <w:rPr>
          <w:rFonts w:ascii="Calibri" w:hAnsi="Calibri" w:cs="Calibri"/>
          <w:sz w:val="22"/>
          <w:szCs w:val="22"/>
          <w:lang w:val="es-ES_tradnl"/>
        </w:rPr>
        <w:t>igue</w:t>
      </w:r>
      <w:r w:rsidR="00736B52">
        <w:rPr>
          <w:rFonts w:ascii="Calibri" w:hAnsi="Calibri" w:cs="Calibri"/>
          <w:sz w:val="22"/>
          <w:szCs w:val="22"/>
          <w:lang w:val="es-ES_tradnl"/>
        </w:rPr>
        <w:t>n</w:t>
      </w:r>
      <w:r w:rsidR="00AA6250" w:rsidRPr="00CE4F6B">
        <w:rPr>
          <w:rFonts w:ascii="Calibri" w:hAnsi="Calibri" w:cs="Calibri"/>
          <w:sz w:val="22"/>
          <w:szCs w:val="22"/>
          <w:lang w:val="es-ES_tradnl"/>
        </w:rPr>
        <w:t xml:space="preserve"> estando asegurad</w:t>
      </w:r>
      <w:r w:rsidR="00736B52">
        <w:rPr>
          <w:rFonts w:ascii="Calibri" w:hAnsi="Calibri" w:cs="Calibri"/>
          <w:sz w:val="22"/>
          <w:szCs w:val="22"/>
          <w:lang w:val="es-ES_tradnl"/>
        </w:rPr>
        <w:t>os</w:t>
      </w:r>
      <w:r w:rsidR="00AA6250" w:rsidRPr="00CE4F6B">
        <w:rPr>
          <w:rFonts w:ascii="Calibri" w:hAnsi="Calibri" w:cs="Calibri"/>
          <w:sz w:val="22"/>
          <w:szCs w:val="22"/>
          <w:lang w:val="es-ES_tradnl"/>
        </w:rPr>
        <w:t xml:space="preserve"> con la misma póliza que suscrib</w:t>
      </w:r>
      <w:r w:rsidR="00036487" w:rsidRPr="00CE4F6B">
        <w:rPr>
          <w:rFonts w:ascii="Calibri" w:hAnsi="Calibri" w:cs="Calibri"/>
          <w:sz w:val="22"/>
          <w:szCs w:val="22"/>
          <w:lang w:val="es-ES_tradnl"/>
        </w:rPr>
        <w:t>ieron</w:t>
      </w:r>
      <w:r w:rsidR="00AA6250" w:rsidRPr="00CE4F6B">
        <w:rPr>
          <w:rFonts w:ascii="Calibri" w:hAnsi="Calibri" w:cs="Calibri"/>
          <w:sz w:val="22"/>
          <w:szCs w:val="22"/>
          <w:lang w:val="es-ES_tradnl"/>
        </w:rPr>
        <w:t xml:space="preserve"> en el momento de disponer del crédito</w:t>
      </w:r>
      <w:r w:rsidR="00AA6250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.</w:t>
      </w:r>
      <w:r w:rsidR="003C78E9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</w:t>
      </w:r>
    </w:p>
    <w:p w14:paraId="645D0B13" w14:textId="3F4E8782" w:rsidR="003C78E9" w:rsidRPr="00CE4F6B" w:rsidRDefault="00AA6250" w:rsidP="003C78E9">
      <w:pPr>
        <w:rPr>
          <w:rStyle w:val="Ninguno"/>
          <w:rFonts w:ascii="Calibri" w:hAnsi="Calibri" w:cs="Calibri"/>
          <w:i/>
          <w:iCs/>
          <w:sz w:val="22"/>
          <w:szCs w:val="22"/>
          <w:lang w:val="es-ES_tradnl"/>
        </w:rPr>
      </w:pPr>
      <w:r w:rsidRPr="00CE4F6B">
        <w:rPr>
          <w:rStyle w:val="Ninguno"/>
          <w:rFonts w:ascii="Calibri" w:hAnsi="Calibri" w:cs="Calibri"/>
          <w:i/>
          <w:iCs/>
          <w:sz w:val="22"/>
          <w:szCs w:val="22"/>
          <w:lang w:val="es-ES_tradnl"/>
        </w:rPr>
        <w:t>“</w:t>
      </w:r>
      <w:r w:rsidR="003C78E9" w:rsidRPr="00CE4F6B">
        <w:rPr>
          <w:rStyle w:val="Ninguno"/>
          <w:rFonts w:ascii="Calibri" w:hAnsi="Calibri" w:cs="Calibri"/>
          <w:i/>
          <w:iCs/>
          <w:sz w:val="22"/>
          <w:szCs w:val="22"/>
          <w:lang w:val="es-ES_tradnl"/>
        </w:rPr>
        <w:t xml:space="preserve">Esta práctica tiene </w:t>
      </w:r>
      <w:r w:rsidR="00036487" w:rsidRPr="00CE4F6B">
        <w:rPr>
          <w:rStyle w:val="Ninguno"/>
          <w:rFonts w:ascii="Calibri" w:hAnsi="Calibri" w:cs="Calibri"/>
          <w:i/>
          <w:iCs/>
          <w:sz w:val="22"/>
          <w:szCs w:val="22"/>
          <w:lang w:val="es-ES_tradnl"/>
        </w:rPr>
        <w:t xml:space="preserve">una </w:t>
      </w:r>
      <w:r w:rsidR="003C78E9" w:rsidRPr="00CE4F6B">
        <w:rPr>
          <w:rStyle w:val="Ninguno"/>
          <w:rFonts w:ascii="Calibri" w:hAnsi="Calibri" w:cs="Calibri"/>
          <w:i/>
          <w:iCs/>
          <w:sz w:val="22"/>
          <w:szCs w:val="22"/>
          <w:lang w:val="es-ES_tradnl"/>
        </w:rPr>
        <w:t>derivada, no menos grave e importante</w:t>
      </w:r>
      <w:r w:rsidRPr="00CE4F6B">
        <w:rPr>
          <w:rStyle w:val="Ninguno"/>
          <w:rFonts w:ascii="Calibri" w:hAnsi="Calibri" w:cs="Calibri"/>
          <w:i/>
          <w:iCs/>
          <w:sz w:val="22"/>
          <w:szCs w:val="22"/>
          <w:lang w:val="es-ES_tradnl"/>
        </w:rPr>
        <w:t>”</w:t>
      </w:r>
      <w:r w:rsidR="003C78E9" w:rsidRPr="00CE4F6B">
        <w:rPr>
          <w:rStyle w:val="Ninguno"/>
          <w:rFonts w:ascii="Calibri" w:hAnsi="Calibri" w:cs="Calibri"/>
          <w:i/>
          <w:iCs/>
          <w:sz w:val="22"/>
          <w:szCs w:val="22"/>
          <w:lang w:val="es-ES_tradnl"/>
        </w:rPr>
        <w:t>,</w:t>
      </w:r>
      <w:r w:rsidR="003C78E9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en opinión de Barberá</w:t>
      </w:r>
      <w:r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, porque</w:t>
      </w:r>
      <w:r w:rsidR="003C78E9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</w:t>
      </w:r>
      <w:r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“según nuestros datos la prima media </w:t>
      </w:r>
      <w:r w:rsidR="008D55BB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de una póliza contratada en una entidad </w:t>
      </w:r>
      <w:r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es un 79% superior al de las aseguradoras y, </w:t>
      </w:r>
      <w:r w:rsidRPr="00CE4F6B">
        <w:rPr>
          <w:rStyle w:val="Ninguno"/>
          <w:rFonts w:ascii="Calibri" w:hAnsi="Calibri" w:cs="Calibri"/>
          <w:i/>
          <w:iCs/>
          <w:sz w:val="22"/>
          <w:szCs w:val="22"/>
          <w:lang w:val="es-ES_tradnl"/>
        </w:rPr>
        <w:t xml:space="preserve">además, en </w:t>
      </w:r>
      <w:r w:rsidR="003C78E9" w:rsidRPr="00CE4F6B">
        <w:rPr>
          <w:rStyle w:val="Ninguno"/>
          <w:rFonts w:ascii="Calibri" w:hAnsi="Calibri" w:cs="Calibri"/>
          <w:i/>
          <w:iCs/>
          <w:sz w:val="22"/>
          <w:szCs w:val="22"/>
          <w:lang w:val="es-ES_tradnl"/>
        </w:rPr>
        <w:t>muchas ocasiones</w:t>
      </w:r>
      <w:r w:rsidRPr="00CE4F6B">
        <w:rPr>
          <w:rStyle w:val="Ninguno"/>
          <w:rFonts w:ascii="Calibri" w:hAnsi="Calibri" w:cs="Calibri"/>
          <w:i/>
          <w:iCs/>
          <w:sz w:val="22"/>
          <w:szCs w:val="22"/>
          <w:lang w:val="es-ES_tradnl"/>
        </w:rPr>
        <w:t>,</w:t>
      </w:r>
      <w:r w:rsidR="003C78E9" w:rsidRPr="00CE4F6B">
        <w:rPr>
          <w:rStyle w:val="Ninguno"/>
          <w:rFonts w:ascii="Calibri" w:hAnsi="Calibri" w:cs="Calibri"/>
          <w:i/>
          <w:iCs/>
          <w:sz w:val="22"/>
          <w:szCs w:val="22"/>
          <w:lang w:val="es-ES_tradnl"/>
        </w:rPr>
        <w:t xml:space="preserve"> se ofrece</w:t>
      </w:r>
      <w:r w:rsidRPr="00CE4F6B">
        <w:rPr>
          <w:rStyle w:val="Ninguno"/>
          <w:rFonts w:ascii="Calibri" w:hAnsi="Calibri" w:cs="Calibri"/>
          <w:i/>
          <w:iCs/>
          <w:sz w:val="22"/>
          <w:szCs w:val="22"/>
          <w:lang w:val="es-ES_tradnl"/>
        </w:rPr>
        <w:t xml:space="preserve">n unas </w:t>
      </w:r>
      <w:r w:rsidR="003C78E9" w:rsidRPr="00CE4F6B">
        <w:rPr>
          <w:rStyle w:val="Ninguno"/>
          <w:rFonts w:ascii="Calibri" w:hAnsi="Calibri" w:cs="Calibri"/>
          <w:i/>
          <w:iCs/>
          <w:sz w:val="22"/>
          <w:szCs w:val="22"/>
          <w:lang w:val="es-ES_tradnl"/>
        </w:rPr>
        <w:t>coberturas por encima de las necesidades reales de quien contrata</w:t>
      </w:r>
      <w:r w:rsidRPr="00CE4F6B">
        <w:rPr>
          <w:rStyle w:val="Ninguno"/>
          <w:rFonts w:ascii="Calibri" w:hAnsi="Calibri" w:cs="Calibri"/>
          <w:i/>
          <w:iCs/>
          <w:sz w:val="22"/>
          <w:szCs w:val="22"/>
          <w:lang w:val="es-ES_tradnl"/>
        </w:rPr>
        <w:t>”.</w:t>
      </w:r>
    </w:p>
    <w:p w14:paraId="28DD4D84" w14:textId="78EA137F" w:rsidR="00AC282A" w:rsidRPr="00CE4F6B" w:rsidRDefault="00AC282A" w:rsidP="00CE4F6B">
      <w:pPr>
        <w:rPr>
          <w:rStyle w:val="Ninguno"/>
          <w:rFonts w:ascii="Calibri" w:hAnsi="Calibri" w:cs="Calibri"/>
          <w:sz w:val="22"/>
          <w:szCs w:val="22"/>
          <w:lang w:val="es-ES_tradnl" w:eastAsia="es-ES_tradnl"/>
        </w:rPr>
      </w:pPr>
    </w:p>
    <w:p w14:paraId="33648A85" w14:textId="26B489BD" w:rsidR="00AC282A" w:rsidRPr="006F6C8F" w:rsidRDefault="00E25F4A" w:rsidP="00CE4F6B">
      <w:pPr>
        <w:pStyle w:val="NormalWeb"/>
        <w:spacing w:before="0" w:beforeAutospacing="0"/>
        <w:rPr>
          <w:rStyle w:val="Ninguno"/>
          <w:rFonts w:ascii="Calibri" w:hAnsi="Calibri" w:cs="Calibri"/>
          <w:sz w:val="22"/>
          <w:szCs w:val="22"/>
          <w:lang w:val="es-ES_tradnl"/>
        </w:rPr>
      </w:pPr>
      <w:r w:rsidRP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Mercados locales </w:t>
      </w:r>
      <w:r w:rsidR="00AC282A" w:rsidRP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  <w:r w:rsid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br/>
      </w:r>
      <w:r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La encuesta del Consejo General de Mediadores analiza la media nacional y también recoge el </w:t>
      </w:r>
      <w:r w:rsidRPr="006F6C8F">
        <w:rPr>
          <w:rStyle w:val="Ninguno"/>
          <w:rFonts w:ascii="Calibri" w:hAnsi="Calibri" w:cs="Calibri"/>
          <w:sz w:val="22"/>
          <w:szCs w:val="22"/>
          <w:lang w:val="es-ES_tradnl"/>
        </w:rPr>
        <w:t>comportamiento de la banca en algunos de los principales mercados aseguradores.</w:t>
      </w:r>
    </w:p>
    <w:p w14:paraId="686DD705" w14:textId="73228180" w:rsidR="001679EA" w:rsidRPr="001679EA" w:rsidRDefault="00E40D81" w:rsidP="001679EA">
      <w:pPr>
        <w:rPr>
          <w:rStyle w:val="Ninguno"/>
          <w:lang w:val="es-ES_tradnl" w:eastAsia="es-ES_tradnl"/>
        </w:rPr>
      </w:pPr>
      <w:r w:rsidRPr="006F6C8F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La oferta de seguros vinculados a la concesión de una hipoteca o un préstamo se observa en todo el territorio nacional, si bien, Valencia y Sevilla </w:t>
      </w:r>
      <w:r w:rsidR="00C239FC" w:rsidRPr="006F6C8F">
        <w:rPr>
          <w:rStyle w:val="Ninguno"/>
          <w:rFonts w:ascii="Calibri" w:hAnsi="Calibri" w:cs="Calibri"/>
          <w:sz w:val="22"/>
          <w:szCs w:val="22"/>
          <w:lang w:val="es-ES_tradnl"/>
        </w:rPr>
        <w:t>registran en mayor proporción (91</w:t>
      </w:r>
      <w:r w:rsidR="0096799C" w:rsidRPr="006F6C8F">
        <w:rPr>
          <w:rStyle w:val="Ninguno"/>
          <w:rFonts w:ascii="Calibri" w:hAnsi="Calibri" w:cs="Calibri"/>
          <w:sz w:val="22"/>
          <w:szCs w:val="22"/>
          <w:lang w:val="es-ES_tradnl"/>
        </w:rPr>
        <w:t>% y 90% respectivamente) la oferta de seguros asociados a la concesión de una hipoteca o préstamo</w:t>
      </w:r>
      <w:r w:rsidR="00CE5196" w:rsidRPr="006F6C8F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. Les sigue </w:t>
      </w:r>
      <w:r w:rsidR="00B1192B" w:rsidRPr="006F6C8F">
        <w:rPr>
          <w:rStyle w:val="Ninguno"/>
          <w:rFonts w:ascii="Calibri" w:hAnsi="Calibri" w:cs="Calibri"/>
          <w:sz w:val="22"/>
          <w:szCs w:val="22"/>
          <w:lang w:val="es-ES_tradnl"/>
        </w:rPr>
        <w:t>Barcelona</w:t>
      </w:r>
      <w:r w:rsidR="00882F6B" w:rsidRPr="006F6C8F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con un</w:t>
      </w:r>
      <w:r w:rsidR="00B1192B" w:rsidRPr="006F6C8F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88%</w:t>
      </w:r>
      <w:r w:rsidR="00736B52" w:rsidRPr="006F6C8F">
        <w:rPr>
          <w:rStyle w:val="Ninguno"/>
          <w:rFonts w:ascii="Calibri" w:hAnsi="Calibri" w:cs="Calibri"/>
          <w:sz w:val="22"/>
          <w:szCs w:val="22"/>
          <w:lang w:val="es-ES_tradnl"/>
        </w:rPr>
        <w:t>.</w:t>
      </w:r>
      <w:r w:rsidR="001156B4" w:rsidRPr="006F6C8F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</w:t>
      </w:r>
      <w:r w:rsidR="00736B52" w:rsidRPr="006F6C8F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En </w:t>
      </w:r>
      <w:r w:rsidRPr="006F6C8F">
        <w:rPr>
          <w:rStyle w:val="Ninguno"/>
          <w:rFonts w:ascii="Calibri" w:hAnsi="Calibri" w:cs="Calibri"/>
          <w:sz w:val="22"/>
          <w:szCs w:val="22"/>
          <w:lang w:val="es-ES_tradnl"/>
        </w:rPr>
        <w:t>Madrid,</w:t>
      </w:r>
      <w:r w:rsidR="00736B52" w:rsidRPr="006F6C8F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con</w:t>
      </w:r>
      <w:r w:rsidRPr="006F6C8F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76%</w:t>
      </w:r>
      <w:r w:rsidR="00736B52" w:rsidRPr="006F6C8F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es el lugar donde la pr</w:t>
      </w:r>
      <w:r w:rsidR="00814C0B">
        <w:rPr>
          <w:rStyle w:val="Ninguno"/>
          <w:rFonts w:ascii="Calibri" w:hAnsi="Calibri" w:cs="Calibri"/>
          <w:sz w:val="22"/>
          <w:szCs w:val="22"/>
          <w:lang w:val="es-ES_tradnl"/>
        </w:rPr>
        <w:t>á</w:t>
      </w:r>
      <w:r w:rsidR="00736B52" w:rsidRPr="006F6C8F">
        <w:rPr>
          <w:rStyle w:val="Ninguno"/>
          <w:rFonts w:ascii="Calibri" w:hAnsi="Calibri" w:cs="Calibri"/>
          <w:sz w:val="22"/>
          <w:szCs w:val="22"/>
          <w:lang w:val="es-ES_tradnl"/>
        </w:rPr>
        <w:t>ctica es menos frecuente en comparación con el resto de zonas.</w:t>
      </w:r>
      <w:r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</w:t>
      </w:r>
      <w:r w:rsidR="00736B52">
        <w:rPr>
          <w:rStyle w:val="Ninguno"/>
          <w:rFonts w:ascii="Calibri" w:hAnsi="Calibri" w:cs="Calibri"/>
          <w:sz w:val="22"/>
          <w:szCs w:val="22"/>
          <w:lang w:val="es-ES_tradnl"/>
        </w:rPr>
        <w:br/>
      </w:r>
    </w:p>
    <w:p w14:paraId="695E5F95" w14:textId="5390788F" w:rsidR="004B5698" w:rsidRPr="00CE4F6B" w:rsidRDefault="00B1192B" w:rsidP="001156B4">
      <w:pPr>
        <w:pStyle w:val="NormalWeb"/>
        <w:spacing w:before="0" w:beforeAutospacing="0"/>
        <w:rPr>
          <w:rFonts w:ascii="Calibri" w:hAnsi="Calibri" w:cs="Calibri"/>
          <w:sz w:val="22"/>
          <w:szCs w:val="22"/>
        </w:rPr>
      </w:pPr>
      <w:r w:rsidRPr="00B1192B">
        <w:rPr>
          <w:rFonts w:ascii="Calibri" w:hAnsi="Calibri" w:cs="Calibri"/>
          <w:b/>
          <w:bCs/>
          <w:sz w:val="22"/>
          <w:szCs w:val="22"/>
        </w:rPr>
        <w:t>Condición necesaria</w:t>
      </w:r>
      <w:r w:rsidRPr="00B1192B">
        <w:rPr>
          <w:rFonts w:ascii="Calibri" w:hAnsi="Calibri" w:cs="Calibri"/>
          <w:b/>
          <w:bCs/>
          <w:sz w:val="22"/>
          <w:szCs w:val="22"/>
        </w:rPr>
        <w:br/>
      </w:r>
      <w:r w:rsidR="00E25F4A" w:rsidRPr="00E25F4A">
        <w:rPr>
          <w:rFonts w:ascii="Calibri" w:hAnsi="Calibri" w:cs="Calibri"/>
          <w:sz w:val="22"/>
          <w:szCs w:val="22"/>
        </w:rPr>
        <w:t xml:space="preserve">En </w:t>
      </w:r>
      <w:r w:rsidR="00DF56D7">
        <w:rPr>
          <w:rFonts w:ascii="Calibri" w:hAnsi="Calibri" w:cs="Calibri"/>
          <w:sz w:val="22"/>
          <w:szCs w:val="22"/>
        </w:rPr>
        <w:t xml:space="preserve">la mayoría de casos, </w:t>
      </w:r>
      <w:r w:rsidR="00E25F4A" w:rsidRPr="00E25F4A">
        <w:rPr>
          <w:rFonts w:ascii="Calibri" w:hAnsi="Calibri" w:cs="Calibri"/>
          <w:sz w:val="22"/>
          <w:szCs w:val="22"/>
        </w:rPr>
        <w:t xml:space="preserve">la </w:t>
      </w:r>
      <w:r>
        <w:rPr>
          <w:rFonts w:ascii="Calibri" w:hAnsi="Calibri" w:cs="Calibri"/>
          <w:sz w:val="22"/>
          <w:szCs w:val="22"/>
        </w:rPr>
        <w:t>suscripción</w:t>
      </w:r>
      <w:r w:rsidR="00E25F4A" w:rsidRPr="00E25F4A">
        <w:rPr>
          <w:rFonts w:ascii="Calibri" w:hAnsi="Calibri" w:cs="Calibri"/>
          <w:sz w:val="22"/>
          <w:szCs w:val="22"/>
        </w:rPr>
        <w:t xml:space="preserve"> de seguro </w:t>
      </w:r>
      <w:r w:rsidR="00DF56D7">
        <w:rPr>
          <w:rFonts w:ascii="Calibri" w:hAnsi="Calibri" w:cs="Calibri"/>
          <w:sz w:val="22"/>
          <w:szCs w:val="22"/>
        </w:rPr>
        <w:t xml:space="preserve">con la entidad </w:t>
      </w:r>
      <w:r w:rsidR="00E25F4A" w:rsidRPr="00E25F4A">
        <w:rPr>
          <w:rFonts w:ascii="Calibri" w:hAnsi="Calibri" w:cs="Calibri"/>
          <w:sz w:val="22"/>
          <w:szCs w:val="22"/>
        </w:rPr>
        <w:t xml:space="preserve">fue </w:t>
      </w:r>
      <w:r w:rsidR="00E25F4A" w:rsidRPr="00E25F4A">
        <w:rPr>
          <w:rFonts w:ascii="Calibri" w:hAnsi="Calibri" w:cs="Calibri"/>
          <w:b/>
          <w:bCs/>
          <w:sz w:val="22"/>
          <w:szCs w:val="22"/>
        </w:rPr>
        <w:t>condición necesaria</w:t>
      </w:r>
      <w:r w:rsidR="00E25F4A" w:rsidRPr="00E25F4A">
        <w:rPr>
          <w:rFonts w:ascii="Calibri" w:hAnsi="Calibri" w:cs="Calibri"/>
          <w:sz w:val="22"/>
          <w:szCs w:val="22"/>
        </w:rPr>
        <w:t xml:space="preserve"> para conce</w:t>
      </w:r>
      <w:r>
        <w:rPr>
          <w:rFonts w:ascii="Calibri" w:hAnsi="Calibri" w:cs="Calibri"/>
          <w:sz w:val="22"/>
          <w:szCs w:val="22"/>
        </w:rPr>
        <w:t>der</w:t>
      </w:r>
      <w:r w:rsidR="00E25F4A" w:rsidRPr="00E25F4A">
        <w:rPr>
          <w:rFonts w:ascii="Calibri" w:hAnsi="Calibri" w:cs="Calibri"/>
          <w:sz w:val="22"/>
          <w:szCs w:val="22"/>
        </w:rPr>
        <w:t xml:space="preserve"> una hipoteca o préstamo personal. </w:t>
      </w:r>
      <w:r w:rsidR="00E25F4A" w:rsidRPr="00CE4F6B">
        <w:rPr>
          <w:rFonts w:ascii="Calibri" w:hAnsi="Calibri" w:cs="Calibri"/>
          <w:sz w:val="22"/>
          <w:szCs w:val="22"/>
        </w:rPr>
        <w:t>Por zonas geográficas prioritarias, Sevilla</w:t>
      </w:r>
      <w:r w:rsidR="004B5698" w:rsidRPr="00CE4F6B">
        <w:rPr>
          <w:rFonts w:ascii="Calibri" w:hAnsi="Calibri" w:cs="Calibri"/>
          <w:sz w:val="22"/>
          <w:szCs w:val="22"/>
        </w:rPr>
        <w:t xml:space="preserve"> (78%)</w:t>
      </w:r>
      <w:r w:rsidR="00E25F4A" w:rsidRPr="00CE4F6B">
        <w:rPr>
          <w:rFonts w:ascii="Calibri" w:hAnsi="Calibri" w:cs="Calibri"/>
          <w:sz w:val="22"/>
          <w:szCs w:val="22"/>
        </w:rPr>
        <w:t xml:space="preserve"> destaca muy por encima del resto en este tipo de prácticas. Por su parte, Valencia y Barcelona se sitúan por debajo de media nacional (53% y 58% respectivamente).</w:t>
      </w:r>
    </w:p>
    <w:p w14:paraId="5D9AC756" w14:textId="53018819" w:rsidR="00036487" w:rsidRPr="00CE4F6B" w:rsidRDefault="00CE4F6B" w:rsidP="00AC282A">
      <w:pPr>
        <w:pStyle w:val="Normal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 referirse </w:t>
      </w:r>
      <w:r w:rsidR="004B5698" w:rsidRPr="00CE4F6B">
        <w:rPr>
          <w:rFonts w:ascii="Calibri" w:hAnsi="Calibri" w:cs="Calibri"/>
          <w:sz w:val="22"/>
          <w:szCs w:val="22"/>
        </w:rPr>
        <w:t xml:space="preserve">a la </w:t>
      </w:r>
      <w:r w:rsidR="004B5698" w:rsidRPr="00CE4F6B">
        <w:rPr>
          <w:rFonts w:ascii="Calibri" w:hAnsi="Calibri" w:cs="Calibri"/>
          <w:b/>
          <w:bCs/>
          <w:sz w:val="22"/>
          <w:szCs w:val="22"/>
        </w:rPr>
        <w:t>contratación de seguros en el momento de acceder al crédito</w:t>
      </w:r>
      <w:r w:rsidR="004B5698" w:rsidRPr="00CE4F6B">
        <w:rPr>
          <w:rFonts w:ascii="Calibri" w:hAnsi="Calibri" w:cs="Calibri"/>
          <w:sz w:val="22"/>
          <w:szCs w:val="22"/>
        </w:rPr>
        <w:t xml:space="preserve">, Barcelona (79%), </w:t>
      </w:r>
      <w:r w:rsidR="00E25F4A" w:rsidRPr="00E25F4A">
        <w:rPr>
          <w:rFonts w:ascii="Calibri" w:hAnsi="Calibri" w:cs="Calibri"/>
          <w:sz w:val="22"/>
          <w:szCs w:val="22"/>
        </w:rPr>
        <w:t xml:space="preserve">Sevilla (78%) y Valencia </w:t>
      </w:r>
      <w:r w:rsidR="00736B52">
        <w:rPr>
          <w:rFonts w:ascii="Calibri" w:hAnsi="Calibri" w:cs="Calibri"/>
          <w:sz w:val="22"/>
          <w:szCs w:val="22"/>
        </w:rPr>
        <w:t xml:space="preserve">y resto de España </w:t>
      </w:r>
      <w:r w:rsidR="00E25F4A" w:rsidRPr="00E25F4A">
        <w:rPr>
          <w:rFonts w:ascii="Calibri" w:hAnsi="Calibri" w:cs="Calibri"/>
          <w:sz w:val="22"/>
          <w:szCs w:val="22"/>
        </w:rPr>
        <w:t xml:space="preserve">(75%) </w:t>
      </w:r>
      <w:r w:rsidR="004B5698" w:rsidRPr="00CE4F6B">
        <w:rPr>
          <w:rFonts w:ascii="Calibri" w:hAnsi="Calibri" w:cs="Calibri"/>
          <w:sz w:val="22"/>
          <w:szCs w:val="22"/>
        </w:rPr>
        <w:t>presentan los porcentajes más elevados</w:t>
      </w:r>
      <w:r w:rsidR="002D10CD">
        <w:rPr>
          <w:rFonts w:ascii="Calibri" w:hAnsi="Calibri" w:cs="Calibri"/>
          <w:sz w:val="22"/>
          <w:szCs w:val="22"/>
        </w:rPr>
        <w:t xml:space="preserve">. </w:t>
      </w:r>
      <w:r w:rsidR="002D10CD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El tipo de producto más ofrecido en todos los mercados es el seguro de </w:t>
      </w:r>
      <w:r w:rsidR="002D10CD">
        <w:rPr>
          <w:rStyle w:val="Ninguno"/>
          <w:rFonts w:ascii="Calibri" w:hAnsi="Calibri" w:cs="Calibri"/>
          <w:sz w:val="22"/>
          <w:szCs w:val="22"/>
          <w:lang w:val="es-ES_tradnl"/>
        </w:rPr>
        <w:t>V</w:t>
      </w:r>
      <w:r w:rsidR="002D10CD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ida, especialmente en Sevilla y Valencia. En País Vasco, </w:t>
      </w:r>
      <w:r w:rsidR="002D10CD">
        <w:rPr>
          <w:rStyle w:val="Ninguno"/>
          <w:rFonts w:ascii="Calibri" w:hAnsi="Calibri" w:cs="Calibri"/>
          <w:sz w:val="22"/>
          <w:szCs w:val="22"/>
          <w:lang w:val="es-ES_tradnl"/>
        </w:rPr>
        <w:t>la póliza</w:t>
      </w:r>
      <w:r w:rsidR="002D10CD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contratad</w:t>
      </w:r>
      <w:r w:rsidR="002D10CD">
        <w:rPr>
          <w:rStyle w:val="Ninguno"/>
          <w:rFonts w:ascii="Calibri" w:hAnsi="Calibri" w:cs="Calibri"/>
          <w:sz w:val="22"/>
          <w:szCs w:val="22"/>
          <w:lang w:val="es-ES_tradnl"/>
        </w:rPr>
        <w:t>a</w:t>
      </w:r>
      <w:r w:rsidR="002D10CD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en mayor medida es de </w:t>
      </w:r>
      <w:r w:rsidR="002D10CD">
        <w:rPr>
          <w:rStyle w:val="Ninguno"/>
          <w:rFonts w:ascii="Calibri" w:hAnsi="Calibri" w:cs="Calibri"/>
          <w:sz w:val="22"/>
          <w:szCs w:val="22"/>
          <w:lang w:val="es-ES_tradnl"/>
        </w:rPr>
        <w:t>H</w:t>
      </w:r>
      <w:r w:rsidR="002D10CD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ogar.</w:t>
      </w:r>
    </w:p>
    <w:p w14:paraId="1A4D6917" w14:textId="4B625F07" w:rsidR="004B5698" w:rsidRPr="00CE4F6B" w:rsidRDefault="004B5698" w:rsidP="004B5698">
      <w:pPr>
        <w:pStyle w:val="NormalWeb"/>
        <w:jc w:val="both"/>
        <w:rPr>
          <w:rStyle w:val="Ninguno"/>
          <w:rFonts w:ascii="Calibri" w:hAnsi="Calibri" w:cs="Calibri"/>
          <w:sz w:val="22"/>
          <w:szCs w:val="22"/>
        </w:rPr>
      </w:pPr>
      <w:r w:rsidRPr="00CE4F6B">
        <w:rPr>
          <w:rFonts w:ascii="Calibri" w:hAnsi="Calibri" w:cs="Calibri"/>
          <w:sz w:val="22"/>
          <w:szCs w:val="22"/>
        </w:rPr>
        <w:t>En cuanto a la</w:t>
      </w:r>
      <w:r w:rsidRPr="00E40D81">
        <w:rPr>
          <w:rFonts w:ascii="Calibri" w:hAnsi="Calibri" w:cs="Calibri"/>
          <w:b/>
          <w:bCs/>
          <w:sz w:val="22"/>
          <w:szCs w:val="22"/>
        </w:rPr>
        <w:t xml:space="preserve"> información</w:t>
      </w:r>
      <w:r w:rsidR="00E40D81">
        <w:rPr>
          <w:rFonts w:ascii="Calibri" w:hAnsi="Calibri" w:cs="Calibri"/>
          <w:b/>
          <w:bCs/>
          <w:sz w:val="22"/>
          <w:szCs w:val="22"/>
        </w:rPr>
        <w:t>,</w:t>
      </w:r>
      <w:r w:rsidRPr="00CE4F6B">
        <w:rPr>
          <w:rFonts w:ascii="Calibri" w:hAnsi="Calibri" w:cs="Calibri"/>
          <w:sz w:val="22"/>
          <w:szCs w:val="22"/>
        </w:rPr>
        <w:t xml:space="preserve"> Barcelona</w:t>
      </w:r>
      <w:r w:rsidR="002C5A6B" w:rsidRPr="00CE4F6B">
        <w:rPr>
          <w:rFonts w:ascii="Calibri" w:hAnsi="Calibri" w:cs="Calibri"/>
          <w:sz w:val="22"/>
          <w:szCs w:val="22"/>
        </w:rPr>
        <w:t xml:space="preserve"> y</w:t>
      </w:r>
      <w:r w:rsidRPr="00CE4F6B">
        <w:rPr>
          <w:rFonts w:ascii="Calibri" w:hAnsi="Calibri" w:cs="Calibri"/>
          <w:sz w:val="22"/>
          <w:szCs w:val="22"/>
        </w:rPr>
        <w:t xml:space="preserve"> Madrid emergen como los territorios donde menos información recibe el cliente sobre la posibilidad de contratación de seguros al margen de la entidad de crédito (77% y 67% respectivamente).</w:t>
      </w:r>
    </w:p>
    <w:p w14:paraId="683CE3CC" w14:textId="2469DBFB" w:rsidR="00AC282A" w:rsidRPr="00CE4F6B" w:rsidRDefault="00036487" w:rsidP="00036487">
      <w:pPr>
        <w:pStyle w:val="NormalWeb"/>
        <w:rPr>
          <w:rStyle w:val="Ninguno"/>
          <w:rFonts w:ascii="Calibri" w:hAnsi="Calibri" w:cs="Calibri"/>
          <w:sz w:val="22"/>
          <w:szCs w:val="22"/>
          <w:lang w:val="es-ES_tradnl"/>
        </w:rPr>
      </w:pPr>
      <w:r w:rsidRPr="00CE4F6B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>Comparando bancos</w:t>
      </w:r>
      <w:r w:rsidRPr="00CE4F6B">
        <w:rPr>
          <w:rStyle w:val="Ninguno"/>
          <w:rFonts w:ascii="Calibri" w:hAnsi="Calibri" w:cs="Calibri"/>
          <w:sz w:val="22"/>
          <w:szCs w:val="22"/>
          <w:lang w:val="es-ES_tradnl"/>
        </w:rPr>
        <w:br/>
        <w:t xml:space="preserve">Más del 60% de </w:t>
      </w:r>
      <w:r w:rsidR="00B62DDF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las personas</w:t>
      </w:r>
      <w:r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en </w:t>
      </w:r>
      <w:r w:rsidR="00B62DDF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búsqueda de un crédito hipotecario o de consumo visitan entre 2 y 4 entidades antes de tomar una decisión. </w:t>
      </w:r>
      <w:r w:rsidR="00AC282A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Por zonas geográficas </w:t>
      </w:r>
      <w:r w:rsidR="002C5A6B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vascos y sevillanos son </w:t>
      </w:r>
      <w:r w:rsidR="00AC282A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los que </w:t>
      </w:r>
      <w:r w:rsidR="00B62DDF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contrastan</w:t>
      </w:r>
      <w:r w:rsidR="00AC282A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más entidades antes de decidirse</w:t>
      </w:r>
      <w:r w:rsidR="002C5A6B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. </w:t>
      </w:r>
      <w:r w:rsidR="002D10CD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Los bancos </w:t>
      </w:r>
      <w:r w:rsidR="002C5A6B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preferid</w:t>
      </w:r>
      <w:r w:rsidR="002D10CD">
        <w:rPr>
          <w:rStyle w:val="Ninguno"/>
          <w:rFonts w:ascii="Calibri" w:hAnsi="Calibri" w:cs="Calibri"/>
          <w:sz w:val="22"/>
          <w:szCs w:val="22"/>
          <w:lang w:val="es-ES_tradnl"/>
        </w:rPr>
        <w:t>o</w:t>
      </w:r>
      <w:r w:rsidR="002C5A6B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s</w:t>
      </w:r>
      <w:r w:rsidR="00AC282A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a la hora de contratar préstamos e hipotecas son BBVA (25%), Banco Santander (22%), La Caixa (18%) y Bankia (11%). El 8% restante </w:t>
      </w:r>
      <w:r w:rsidR="002C5A6B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optó</w:t>
      </w:r>
      <w:r w:rsidR="00AC282A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</w:t>
      </w:r>
      <w:r w:rsidR="002C5A6B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por </w:t>
      </w:r>
      <w:r w:rsidR="00AC282A" w:rsidRPr="00CE4F6B">
        <w:rPr>
          <w:rStyle w:val="Ninguno"/>
          <w:rFonts w:ascii="Calibri" w:hAnsi="Calibri" w:cs="Calibri"/>
          <w:sz w:val="22"/>
          <w:szCs w:val="22"/>
          <w:lang w:val="es-ES_tradnl"/>
        </w:rPr>
        <w:t>otra entidad, preferentemente cajas rurales.</w:t>
      </w:r>
    </w:p>
    <w:p w14:paraId="4597437D" w14:textId="77777777" w:rsidR="00AC282A" w:rsidRPr="000C5967" w:rsidRDefault="00AC282A" w:rsidP="00AC282A">
      <w:pPr>
        <w:pStyle w:val="NormalWeb"/>
        <w:spacing w:before="0" w:beforeAutospacing="0"/>
        <w:jc w:val="both"/>
        <w:rPr>
          <w:rStyle w:val="Ninguno"/>
          <w:rFonts w:ascii="Calibri" w:hAnsi="Calibri" w:cs="Calibri"/>
          <w:lang w:val="es-ES_tradnl"/>
        </w:rPr>
      </w:pPr>
    </w:p>
    <w:p w14:paraId="5704E4D5" w14:textId="77777777" w:rsidR="00AC282A" w:rsidRDefault="00AC282A" w:rsidP="00AC282A">
      <w:pPr>
        <w:pStyle w:val="NormalWeb"/>
        <w:spacing w:before="0" w:beforeAutospacing="0"/>
        <w:jc w:val="both"/>
        <w:rPr>
          <w:rStyle w:val="Ninguno"/>
          <w:rFonts w:ascii="Calibri" w:hAnsi="Calibri" w:cs="Calibri"/>
          <w:lang w:val="es-ES_tradnl"/>
        </w:rPr>
      </w:pPr>
    </w:p>
    <w:p w14:paraId="71CB91B9" w14:textId="23A0F7AE" w:rsidR="00AC282A" w:rsidRPr="00D42455" w:rsidRDefault="007F4653" w:rsidP="00AC282A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rPr>
          <w:rStyle w:val="Ninguno"/>
          <w:rFonts w:ascii="Calibri" w:eastAsia="Trebuchet MS" w:hAnsi="Calibri" w:cs="Calibri"/>
          <w:b/>
          <w:bCs/>
          <w:sz w:val="20"/>
          <w:szCs w:val="20"/>
        </w:rPr>
      </w:pPr>
      <w:r>
        <w:rPr>
          <w:rStyle w:val="Ninguno"/>
          <w:rFonts w:ascii="Calibri" w:eastAsia="Trebuchet MS" w:hAnsi="Calibri" w:cs="Calibri"/>
          <w:b/>
          <w:bCs/>
          <w:sz w:val="20"/>
          <w:szCs w:val="20"/>
        </w:rPr>
        <w:br/>
      </w:r>
      <w:r w:rsidR="00AC282A" w:rsidRPr="00D42455">
        <w:rPr>
          <w:rStyle w:val="Ninguno"/>
          <w:rFonts w:ascii="Calibri" w:eastAsia="Trebuchet MS" w:hAnsi="Calibri" w:cs="Calibri"/>
          <w:b/>
          <w:bCs/>
          <w:sz w:val="20"/>
          <w:szCs w:val="20"/>
        </w:rPr>
        <w:t xml:space="preserve">Sobre el Consejo General </w:t>
      </w:r>
    </w:p>
    <w:p w14:paraId="29A257F3" w14:textId="77777777" w:rsidR="00AC282A" w:rsidRPr="004A58B7" w:rsidRDefault="00AC282A" w:rsidP="00AC282A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rPr>
          <w:rStyle w:val="Ninguno"/>
          <w:rFonts w:ascii="Calibri" w:eastAsia="Trebuchet MS" w:hAnsi="Calibri" w:cs="Calibri"/>
          <w:b/>
          <w:bCs/>
          <w:sz w:val="20"/>
          <w:szCs w:val="20"/>
        </w:rPr>
      </w:pPr>
    </w:p>
    <w:p w14:paraId="3E396529" w14:textId="6C0F579C" w:rsidR="00AC282A" w:rsidRPr="00D42455" w:rsidRDefault="00AC282A" w:rsidP="00AC282A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rPr>
          <w:rStyle w:val="Ninguno"/>
          <w:rFonts w:ascii="Calibri" w:eastAsia="Trebuchet MS" w:hAnsi="Calibri" w:cs="Calibri"/>
          <w:i/>
          <w:iCs/>
          <w:sz w:val="18"/>
          <w:szCs w:val="18"/>
        </w:rPr>
      </w:pPr>
      <w:r w:rsidRPr="00D42455">
        <w:rPr>
          <w:rStyle w:val="Ninguno"/>
          <w:rFonts w:ascii="Calibri" w:eastAsia="Trebuchet MS" w:hAnsi="Calibri" w:cs="Calibri"/>
          <w:i/>
          <w:iCs/>
          <w:sz w:val="18"/>
          <w:szCs w:val="18"/>
        </w:rPr>
        <w:t xml:space="preserve">El Consejo General de los Colegios de Mediadores de Seguros es la corporación de derecho público que aglutina a 52 colegios profesionales distribuidos por todo el territorio nacional. Sus más de 7.000 miembros la convierten en la organización de agentes y corredores de seguros más importante de España y más numerosa de Europa. Forma parte de las principales organizaciones internacionales de profesionales del sector como son BIPAR (Europa), COPAPROSE (América) y WFii (mundial). </w:t>
      </w:r>
    </w:p>
    <w:p w14:paraId="3AEAA04D" w14:textId="32AB2DF8" w:rsidR="00AC282A" w:rsidRPr="00D42455" w:rsidRDefault="00AC282A" w:rsidP="00AC282A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rPr>
          <w:rStyle w:val="Ninguno"/>
          <w:rFonts w:ascii="Calibri" w:eastAsia="Trebuchet MS" w:hAnsi="Calibri" w:cs="Calibri"/>
          <w:i/>
          <w:iCs/>
          <w:sz w:val="18"/>
          <w:szCs w:val="18"/>
        </w:rPr>
      </w:pPr>
      <w:r w:rsidRPr="00D42455">
        <w:rPr>
          <w:rStyle w:val="Ninguno"/>
          <w:rFonts w:ascii="Calibri" w:eastAsia="Trebuchet MS" w:hAnsi="Calibri" w:cs="Calibri"/>
          <w:i/>
          <w:iCs/>
          <w:sz w:val="18"/>
          <w:szCs w:val="18"/>
        </w:rPr>
        <w:t xml:space="preserve">Cuenta con una escuela de negocios, CECAS, exclusivamente dedicada a la formación aseguradora. </w:t>
      </w:r>
    </w:p>
    <w:p w14:paraId="56146B9C" w14:textId="77777777" w:rsidR="00AC282A" w:rsidRPr="00D42455" w:rsidRDefault="00AC282A" w:rsidP="00AC282A">
      <w:pPr>
        <w:pStyle w:val="CuerpoA"/>
        <w:spacing w:after="0" w:line="240" w:lineRule="auto"/>
        <w:jc w:val="both"/>
        <w:rPr>
          <w:rStyle w:val="Ninguno"/>
          <w:rFonts w:eastAsia="Trebuchet MS"/>
          <w:i/>
          <w:iCs/>
          <w:sz w:val="18"/>
          <w:szCs w:val="18"/>
        </w:rPr>
      </w:pPr>
    </w:p>
    <w:p w14:paraId="68711E01" w14:textId="77777777" w:rsidR="00AC282A" w:rsidRPr="00D42455" w:rsidRDefault="00AC282A" w:rsidP="00AC282A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00" w:lineRule="atLeast"/>
        <w:rPr>
          <w:rStyle w:val="Ninguno"/>
          <w:rFonts w:ascii="Trebuchet MS" w:eastAsia="Trebuchet MS" w:hAnsi="Trebuchet MS" w:cs="Trebuchet MS"/>
          <w:i/>
          <w:iCs/>
          <w:sz w:val="20"/>
          <w:szCs w:val="20"/>
        </w:rPr>
      </w:pPr>
    </w:p>
    <w:p w14:paraId="56990080" w14:textId="77777777" w:rsidR="00AC282A" w:rsidRDefault="00AC282A" w:rsidP="007F4653">
      <w:pPr>
        <w:pStyle w:val="CuerpoA"/>
        <w:rPr>
          <w:rStyle w:val="Ninguno"/>
          <w:b/>
          <w:bCs/>
          <w:i/>
          <w:iCs/>
          <w:u w:val="single"/>
        </w:rPr>
      </w:pPr>
      <w:r>
        <w:rPr>
          <w:rStyle w:val="Ninguno"/>
          <w:b/>
          <w:bCs/>
          <w:i/>
          <w:iCs/>
          <w:u w:val="single"/>
          <w:lang w:val="pt-PT"/>
        </w:rPr>
        <w:t>Contacto Prensa</w:t>
      </w:r>
    </w:p>
    <w:p w14:paraId="46B51D2B" w14:textId="2561C40F" w:rsidR="00AC282A" w:rsidRDefault="007F4653" w:rsidP="007F4653">
      <w:pPr>
        <w:pStyle w:val="CuerpoA"/>
        <w:rPr>
          <w:rStyle w:val="Ninguno"/>
          <w:lang w:val="es-ES_tradnl"/>
        </w:rPr>
      </w:pPr>
      <w:r>
        <w:rPr>
          <w:rStyle w:val="Ninguno"/>
          <w:lang w:val="es-ES_tradnl"/>
        </w:rPr>
        <w:t xml:space="preserve">Aurora Ochoa: 607 477 764    </w:t>
      </w:r>
      <w:r>
        <w:rPr>
          <w:rStyle w:val="Ninguno"/>
          <w:lang w:val="es-ES_tradnl"/>
        </w:rPr>
        <w:tab/>
        <w:t>/ aochoa@elcanomg.com</w:t>
      </w:r>
    </w:p>
    <w:p w14:paraId="5EE118F9" w14:textId="430EAF24" w:rsidR="007F4653" w:rsidRDefault="007F4653" w:rsidP="007F4653">
      <w:pPr>
        <w:pStyle w:val="CuerpoA"/>
      </w:pPr>
      <w:r>
        <w:rPr>
          <w:rStyle w:val="Ninguno"/>
          <w:lang w:val="es-ES_tradnl"/>
        </w:rPr>
        <w:t>Celia Lorente: 676 232 186</w:t>
      </w:r>
      <w:r>
        <w:rPr>
          <w:rStyle w:val="Ninguno"/>
          <w:lang w:val="es-ES_tradnl"/>
        </w:rPr>
        <w:tab/>
        <w:t>/ clorente@elcanomg.com</w:t>
      </w:r>
    </w:p>
    <w:p w14:paraId="15F942AD" w14:textId="1F265963" w:rsidR="003756AF" w:rsidRDefault="003756AF" w:rsidP="00AC282A">
      <w:pPr>
        <w:tabs>
          <w:tab w:val="left" w:pos="2291"/>
        </w:tabs>
        <w:jc w:val="center"/>
        <w:rPr>
          <w:rFonts w:ascii="Calibri" w:hAnsi="Calibri"/>
          <w:b/>
          <w:bCs/>
        </w:rPr>
      </w:pPr>
    </w:p>
    <w:sectPr w:rsidR="003756AF">
      <w:headerReference w:type="default" r:id="rId7"/>
      <w:footerReference w:type="even" r:id="rId8"/>
      <w:footerReference w:type="default" r:id="rId9"/>
      <w:pgSz w:w="11900" w:h="16840"/>
      <w:pgMar w:top="1985" w:right="1247" w:bottom="1440" w:left="1247" w:header="45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79F62" w14:textId="77777777" w:rsidR="004C576A" w:rsidRDefault="004C576A">
      <w:r>
        <w:separator/>
      </w:r>
    </w:p>
  </w:endnote>
  <w:endnote w:type="continuationSeparator" w:id="0">
    <w:p w14:paraId="40B459BB" w14:textId="77777777" w:rsidR="004C576A" w:rsidRDefault="004C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ffra">
    <w:altName w:val="Calibri"/>
    <w:charset w:val="00"/>
    <w:family w:val="auto"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33325802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BE8F146" w14:textId="7110C5FA" w:rsidR="00B1192B" w:rsidRDefault="00B1192B" w:rsidP="001C262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EBEE1CB" w14:textId="77777777" w:rsidR="00B1192B" w:rsidRDefault="00B1192B" w:rsidP="00B1192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200727902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09E2C42" w14:textId="102F8896" w:rsidR="00B1192B" w:rsidRDefault="00B1192B" w:rsidP="001C262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6E98C8D7" w14:textId="041B26E3" w:rsidR="00BF46B0" w:rsidRPr="002D1A53" w:rsidRDefault="006B0842" w:rsidP="00B1192B">
    <w:pPr>
      <w:pStyle w:val="Piedepgina"/>
      <w:ind w:right="360"/>
      <w:rPr>
        <w:rFonts w:ascii="Effra" w:hAnsi="Effra"/>
        <w:color w:val="0000B4"/>
        <w:sz w:val="16"/>
        <w:szCs w:val="16"/>
      </w:rPr>
    </w:pPr>
    <w:r w:rsidRPr="006B0842">
      <w:rPr>
        <w:rFonts w:ascii="Effra" w:hAnsi="Effra"/>
        <w:sz w:val="16"/>
        <w:szCs w:val="16"/>
      </w:rPr>
      <w:tab/>
      <w:t xml:space="preserve"> </w:t>
    </w:r>
    <w:r w:rsidRPr="006B0842">
      <w:rPr>
        <w:rFonts w:ascii="Effra" w:hAnsi="Effra"/>
        <w:sz w:val="16"/>
        <w:szCs w:val="16"/>
      </w:rPr>
      <w:tab/>
    </w:r>
    <w:r w:rsidRPr="002D1A53">
      <w:rPr>
        <w:rFonts w:ascii="Effra" w:hAnsi="Effra"/>
        <w:b/>
        <w:bCs/>
        <w:color w:val="0000B4"/>
        <w:sz w:val="16"/>
        <w:szCs w:val="16"/>
      </w:rPr>
      <w:t>mediadoresdeseguros.com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ADE7A" w14:textId="77777777" w:rsidR="004C576A" w:rsidRDefault="004C576A">
      <w:r>
        <w:separator/>
      </w:r>
    </w:p>
  </w:footnote>
  <w:footnote w:type="continuationSeparator" w:id="0">
    <w:p w14:paraId="402E7B47" w14:textId="77777777" w:rsidR="004C576A" w:rsidRDefault="004C5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1AE55" w14:textId="1A11BB81" w:rsidR="00537C69" w:rsidRDefault="00537C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  <w:color w:val="000000"/>
      </w:rPr>
    </w:pPr>
  </w:p>
  <w:p w14:paraId="64BF05F3" w14:textId="6D71A8DA" w:rsidR="00A5360B" w:rsidRDefault="001171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0CCF7105" wp14:editId="3A2385BC">
          <wp:simplePos x="0" y="0"/>
          <wp:positionH relativeFrom="column">
            <wp:posOffset>4685030</wp:posOffset>
          </wp:positionH>
          <wp:positionV relativeFrom="paragraph">
            <wp:posOffset>337820</wp:posOffset>
          </wp:positionV>
          <wp:extent cx="1287145" cy="312420"/>
          <wp:effectExtent l="0" t="0" r="8255" b="0"/>
          <wp:wrapTight wrapText="bothSides">
            <wp:wrapPolygon edited="0">
              <wp:start x="0" y="0"/>
              <wp:lineTo x="0" y="19756"/>
              <wp:lineTo x="21419" y="19756"/>
              <wp:lineTo x="2141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3A5F" w:rsidRPr="00A5360B"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08BFDA18" wp14:editId="2A1EA329">
          <wp:simplePos x="0" y="0"/>
          <wp:positionH relativeFrom="column">
            <wp:posOffset>-341630</wp:posOffset>
          </wp:positionH>
          <wp:positionV relativeFrom="paragraph">
            <wp:posOffset>216535</wp:posOffset>
          </wp:positionV>
          <wp:extent cx="1723390" cy="512445"/>
          <wp:effectExtent l="0" t="0" r="0" b="1905"/>
          <wp:wrapThrough wrapText="bothSides">
            <wp:wrapPolygon edited="0">
              <wp:start x="9550" y="803"/>
              <wp:lineTo x="0" y="4015"/>
              <wp:lineTo x="0" y="18468"/>
              <wp:lineTo x="9550" y="20877"/>
              <wp:lineTo x="10983" y="20877"/>
              <wp:lineTo x="20295" y="18468"/>
              <wp:lineTo x="20056" y="15257"/>
              <wp:lineTo x="21250" y="10439"/>
              <wp:lineTo x="21250" y="3212"/>
              <wp:lineTo x="15281" y="803"/>
              <wp:lineTo x="9550" y="803"/>
            </wp:wrapPolygon>
          </wp:wrapThrough>
          <wp:docPr id="683" name="Google Shape;683;p52" descr="Imagen que contiene dibuj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" name="Google Shape;683;p52"/>
                  <pic:cNvPicPr preferRelativeResize="0"/>
                </pic:nvPicPr>
                <pic:blipFill rotWithShape="1"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681" b="30255"/>
                  <a:stretch/>
                </pic:blipFill>
                <pic:spPr>
                  <a:xfrm>
                    <a:off x="0" y="0"/>
                    <a:ext cx="1723390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3A5F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559AE1" wp14:editId="2135070B">
              <wp:simplePos x="0" y="0"/>
              <wp:positionH relativeFrom="column">
                <wp:posOffset>-1030795</wp:posOffset>
              </wp:positionH>
              <wp:positionV relativeFrom="paragraph">
                <wp:posOffset>177165</wp:posOffset>
              </wp:positionV>
              <wp:extent cx="507579" cy="507579"/>
              <wp:effectExtent l="57150" t="19050" r="64135" b="83185"/>
              <wp:wrapNone/>
              <wp:docPr id="5" name="E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579" cy="507579"/>
                      </a:xfrm>
                      <a:prstGeom prst="ellipse">
                        <a:avLst/>
                      </a:prstGeom>
                      <a:solidFill>
                        <a:srgbClr val="BAD40E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39CF682" id="Elipse 5" o:spid="_x0000_s1026" style="position:absolute;margin-left:-81.15pt;margin-top:13.95pt;width:39.95pt;height:3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" fillcolor="#bad40e" stroked="f">
              <v:shadow on="t" color="black" opacity="22937f" origin=",.5" offset="0,.63889mm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45651"/>
    <w:multiLevelType w:val="hybridMultilevel"/>
    <w:tmpl w:val="FA3C6E96"/>
    <w:lvl w:ilvl="0" w:tplc="0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69"/>
    <w:rsid w:val="00001F1F"/>
    <w:rsid w:val="0001219D"/>
    <w:rsid w:val="00015C68"/>
    <w:rsid w:val="00022C62"/>
    <w:rsid w:val="00036487"/>
    <w:rsid w:val="00037319"/>
    <w:rsid w:val="00045FA4"/>
    <w:rsid w:val="000461CA"/>
    <w:rsid w:val="0005712C"/>
    <w:rsid w:val="00064BD4"/>
    <w:rsid w:val="00066339"/>
    <w:rsid w:val="000741EE"/>
    <w:rsid w:val="00084355"/>
    <w:rsid w:val="0008733B"/>
    <w:rsid w:val="000A201C"/>
    <w:rsid w:val="000A50F7"/>
    <w:rsid w:val="000A51BE"/>
    <w:rsid w:val="000A694A"/>
    <w:rsid w:val="000A70D6"/>
    <w:rsid w:val="000E4878"/>
    <w:rsid w:val="000F2724"/>
    <w:rsid w:val="00102A04"/>
    <w:rsid w:val="001075ED"/>
    <w:rsid w:val="00113E34"/>
    <w:rsid w:val="001156B4"/>
    <w:rsid w:val="001171E2"/>
    <w:rsid w:val="0012014D"/>
    <w:rsid w:val="001530A7"/>
    <w:rsid w:val="001651A3"/>
    <w:rsid w:val="001679EA"/>
    <w:rsid w:val="00173D27"/>
    <w:rsid w:val="00176FAE"/>
    <w:rsid w:val="00186D51"/>
    <w:rsid w:val="00190810"/>
    <w:rsid w:val="001957CC"/>
    <w:rsid w:val="00197E00"/>
    <w:rsid w:val="001A2077"/>
    <w:rsid w:val="001A309C"/>
    <w:rsid w:val="001B71B5"/>
    <w:rsid w:val="001C410A"/>
    <w:rsid w:val="001C6EE3"/>
    <w:rsid w:val="001D6817"/>
    <w:rsid w:val="001D7D2D"/>
    <w:rsid w:val="001F5E2D"/>
    <w:rsid w:val="001F6829"/>
    <w:rsid w:val="0023168C"/>
    <w:rsid w:val="00243BEA"/>
    <w:rsid w:val="00246833"/>
    <w:rsid w:val="00247A2F"/>
    <w:rsid w:val="00257872"/>
    <w:rsid w:val="0026630C"/>
    <w:rsid w:val="002708FD"/>
    <w:rsid w:val="002935C7"/>
    <w:rsid w:val="002A17D1"/>
    <w:rsid w:val="002A463B"/>
    <w:rsid w:val="002A6203"/>
    <w:rsid w:val="002B11F9"/>
    <w:rsid w:val="002B6C37"/>
    <w:rsid w:val="002B7858"/>
    <w:rsid w:val="002C5A6B"/>
    <w:rsid w:val="002C625B"/>
    <w:rsid w:val="002D07B0"/>
    <w:rsid w:val="002D10CD"/>
    <w:rsid w:val="002D1A53"/>
    <w:rsid w:val="002D1A5C"/>
    <w:rsid w:val="002D418D"/>
    <w:rsid w:val="002E3A88"/>
    <w:rsid w:val="002E5603"/>
    <w:rsid w:val="002E5FBA"/>
    <w:rsid w:val="002E685A"/>
    <w:rsid w:val="002F12ED"/>
    <w:rsid w:val="00300F5F"/>
    <w:rsid w:val="00305168"/>
    <w:rsid w:val="003076C7"/>
    <w:rsid w:val="0031364D"/>
    <w:rsid w:val="00316C6F"/>
    <w:rsid w:val="003256A4"/>
    <w:rsid w:val="00367960"/>
    <w:rsid w:val="00374784"/>
    <w:rsid w:val="003756AF"/>
    <w:rsid w:val="00377436"/>
    <w:rsid w:val="00377A00"/>
    <w:rsid w:val="00383698"/>
    <w:rsid w:val="003949D0"/>
    <w:rsid w:val="003B3D72"/>
    <w:rsid w:val="003B7068"/>
    <w:rsid w:val="003C0D93"/>
    <w:rsid w:val="003C78E9"/>
    <w:rsid w:val="003D0975"/>
    <w:rsid w:val="003D3E01"/>
    <w:rsid w:val="003D57F7"/>
    <w:rsid w:val="003E0BE0"/>
    <w:rsid w:val="004027D0"/>
    <w:rsid w:val="004038CE"/>
    <w:rsid w:val="00414042"/>
    <w:rsid w:val="004221C9"/>
    <w:rsid w:val="0042378D"/>
    <w:rsid w:val="00430E36"/>
    <w:rsid w:val="00437896"/>
    <w:rsid w:val="00445909"/>
    <w:rsid w:val="00451A9D"/>
    <w:rsid w:val="0045248E"/>
    <w:rsid w:val="0045747C"/>
    <w:rsid w:val="00465949"/>
    <w:rsid w:val="0046796C"/>
    <w:rsid w:val="00480C3C"/>
    <w:rsid w:val="00495743"/>
    <w:rsid w:val="00495790"/>
    <w:rsid w:val="004A2291"/>
    <w:rsid w:val="004B5698"/>
    <w:rsid w:val="004C5493"/>
    <w:rsid w:val="004C576A"/>
    <w:rsid w:val="004D0D80"/>
    <w:rsid w:val="004D4734"/>
    <w:rsid w:val="004D5EE8"/>
    <w:rsid w:val="004D5F64"/>
    <w:rsid w:val="004E3396"/>
    <w:rsid w:val="004E611D"/>
    <w:rsid w:val="004F3218"/>
    <w:rsid w:val="005125AD"/>
    <w:rsid w:val="00514E19"/>
    <w:rsid w:val="00515597"/>
    <w:rsid w:val="0052070C"/>
    <w:rsid w:val="00531DAB"/>
    <w:rsid w:val="00535B9F"/>
    <w:rsid w:val="00537C69"/>
    <w:rsid w:val="0054484B"/>
    <w:rsid w:val="00553725"/>
    <w:rsid w:val="00573A5F"/>
    <w:rsid w:val="005828AD"/>
    <w:rsid w:val="00584152"/>
    <w:rsid w:val="005B59D6"/>
    <w:rsid w:val="005C6478"/>
    <w:rsid w:val="005E37DB"/>
    <w:rsid w:val="005E7019"/>
    <w:rsid w:val="005F4F4F"/>
    <w:rsid w:val="005F5086"/>
    <w:rsid w:val="005F7328"/>
    <w:rsid w:val="00605203"/>
    <w:rsid w:val="006230B7"/>
    <w:rsid w:val="00625466"/>
    <w:rsid w:val="00634C79"/>
    <w:rsid w:val="006364D3"/>
    <w:rsid w:val="00641095"/>
    <w:rsid w:val="0064735A"/>
    <w:rsid w:val="00671611"/>
    <w:rsid w:val="00686FB0"/>
    <w:rsid w:val="006907E8"/>
    <w:rsid w:val="00696891"/>
    <w:rsid w:val="006B0842"/>
    <w:rsid w:val="006B1CE4"/>
    <w:rsid w:val="006C3106"/>
    <w:rsid w:val="006E4059"/>
    <w:rsid w:val="006F563E"/>
    <w:rsid w:val="006F6C8F"/>
    <w:rsid w:val="00713720"/>
    <w:rsid w:val="00715925"/>
    <w:rsid w:val="00726E62"/>
    <w:rsid w:val="007316DF"/>
    <w:rsid w:val="00736B52"/>
    <w:rsid w:val="00761E93"/>
    <w:rsid w:val="007673AA"/>
    <w:rsid w:val="007835C5"/>
    <w:rsid w:val="007869D9"/>
    <w:rsid w:val="007A088F"/>
    <w:rsid w:val="007A3164"/>
    <w:rsid w:val="007A6634"/>
    <w:rsid w:val="007B02AA"/>
    <w:rsid w:val="007C2606"/>
    <w:rsid w:val="007E5758"/>
    <w:rsid w:val="007F4653"/>
    <w:rsid w:val="00801616"/>
    <w:rsid w:val="00801C48"/>
    <w:rsid w:val="00804DEB"/>
    <w:rsid w:val="00814C0B"/>
    <w:rsid w:val="0082225D"/>
    <w:rsid w:val="00833277"/>
    <w:rsid w:val="008513C0"/>
    <w:rsid w:val="008547B8"/>
    <w:rsid w:val="0088269D"/>
    <w:rsid w:val="00882F6B"/>
    <w:rsid w:val="00883427"/>
    <w:rsid w:val="008857D9"/>
    <w:rsid w:val="00885F0B"/>
    <w:rsid w:val="00894273"/>
    <w:rsid w:val="00895AEE"/>
    <w:rsid w:val="00897514"/>
    <w:rsid w:val="008B31BB"/>
    <w:rsid w:val="008D55BB"/>
    <w:rsid w:val="008E0621"/>
    <w:rsid w:val="008F53DB"/>
    <w:rsid w:val="00906150"/>
    <w:rsid w:val="0091031E"/>
    <w:rsid w:val="009104E6"/>
    <w:rsid w:val="00912F00"/>
    <w:rsid w:val="0091369D"/>
    <w:rsid w:val="00925C23"/>
    <w:rsid w:val="00954752"/>
    <w:rsid w:val="00957535"/>
    <w:rsid w:val="00960015"/>
    <w:rsid w:val="0096799C"/>
    <w:rsid w:val="0098145F"/>
    <w:rsid w:val="00981E5C"/>
    <w:rsid w:val="00985E38"/>
    <w:rsid w:val="009913D4"/>
    <w:rsid w:val="00993372"/>
    <w:rsid w:val="00997087"/>
    <w:rsid w:val="009A307B"/>
    <w:rsid w:val="009A3982"/>
    <w:rsid w:val="009A3C60"/>
    <w:rsid w:val="009A56EB"/>
    <w:rsid w:val="009A5CA7"/>
    <w:rsid w:val="009B0E38"/>
    <w:rsid w:val="009D7F01"/>
    <w:rsid w:val="009F197C"/>
    <w:rsid w:val="009F2235"/>
    <w:rsid w:val="009F6303"/>
    <w:rsid w:val="00A02154"/>
    <w:rsid w:val="00A172EC"/>
    <w:rsid w:val="00A23ED5"/>
    <w:rsid w:val="00A34DFC"/>
    <w:rsid w:val="00A520C0"/>
    <w:rsid w:val="00A5360B"/>
    <w:rsid w:val="00A60403"/>
    <w:rsid w:val="00A60C21"/>
    <w:rsid w:val="00A65E5B"/>
    <w:rsid w:val="00A73B7B"/>
    <w:rsid w:val="00A76BDD"/>
    <w:rsid w:val="00A80E99"/>
    <w:rsid w:val="00A86D2E"/>
    <w:rsid w:val="00A933E0"/>
    <w:rsid w:val="00A94EDE"/>
    <w:rsid w:val="00A95BF3"/>
    <w:rsid w:val="00A9786C"/>
    <w:rsid w:val="00AA435C"/>
    <w:rsid w:val="00AA4DF0"/>
    <w:rsid w:val="00AA6250"/>
    <w:rsid w:val="00AB4923"/>
    <w:rsid w:val="00AC282A"/>
    <w:rsid w:val="00AC600B"/>
    <w:rsid w:val="00AF37C8"/>
    <w:rsid w:val="00AF51B6"/>
    <w:rsid w:val="00B04FC8"/>
    <w:rsid w:val="00B1192B"/>
    <w:rsid w:val="00B15880"/>
    <w:rsid w:val="00B16388"/>
    <w:rsid w:val="00B418F9"/>
    <w:rsid w:val="00B421F8"/>
    <w:rsid w:val="00B47024"/>
    <w:rsid w:val="00B5231D"/>
    <w:rsid w:val="00B62DDF"/>
    <w:rsid w:val="00B64845"/>
    <w:rsid w:val="00B65829"/>
    <w:rsid w:val="00B705DD"/>
    <w:rsid w:val="00B7405D"/>
    <w:rsid w:val="00B80573"/>
    <w:rsid w:val="00B95864"/>
    <w:rsid w:val="00BA3898"/>
    <w:rsid w:val="00BB1F22"/>
    <w:rsid w:val="00BC4EEB"/>
    <w:rsid w:val="00BC5C56"/>
    <w:rsid w:val="00BD39B3"/>
    <w:rsid w:val="00BE476D"/>
    <w:rsid w:val="00BF12AE"/>
    <w:rsid w:val="00BF46B0"/>
    <w:rsid w:val="00BF73F7"/>
    <w:rsid w:val="00C031EA"/>
    <w:rsid w:val="00C054C7"/>
    <w:rsid w:val="00C11D85"/>
    <w:rsid w:val="00C239FC"/>
    <w:rsid w:val="00C3444F"/>
    <w:rsid w:val="00C34EF2"/>
    <w:rsid w:val="00C35CE6"/>
    <w:rsid w:val="00C43FAE"/>
    <w:rsid w:val="00C46544"/>
    <w:rsid w:val="00C52FA2"/>
    <w:rsid w:val="00C64C61"/>
    <w:rsid w:val="00C6541B"/>
    <w:rsid w:val="00C771E3"/>
    <w:rsid w:val="00C839D0"/>
    <w:rsid w:val="00C94E09"/>
    <w:rsid w:val="00C9787E"/>
    <w:rsid w:val="00CA1F94"/>
    <w:rsid w:val="00CB57C5"/>
    <w:rsid w:val="00CC3DD9"/>
    <w:rsid w:val="00CC5202"/>
    <w:rsid w:val="00CC7B67"/>
    <w:rsid w:val="00CE4F6B"/>
    <w:rsid w:val="00CE5196"/>
    <w:rsid w:val="00CE6F26"/>
    <w:rsid w:val="00CF73B0"/>
    <w:rsid w:val="00D03208"/>
    <w:rsid w:val="00D052F6"/>
    <w:rsid w:val="00D06606"/>
    <w:rsid w:val="00D17EF7"/>
    <w:rsid w:val="00D225A8"/>
    <w:rsid w:val="00D26E11"/>
    <w:rsid w:val="00D27BAC"/>
    <w:rsid w:val="00D30DD7"/>
    <w:rsid w:val="00D31522"/>
    <w:rsid w:val="00D329FD"/>
    <w:rsid w:val="00D500C4"/>
    <w:rsid w:val="00D64211"/>
    <w:rsid w:val="00D72049"/>
    <w:rsid w:val="00D747CE"/>
    <w:rsid w:val="00D924F6"/>
    <w:rsid w:val="00D927CA"/>
    <w:rsid w:val="00D950C1"/>
    <w:rsid w:val="00DA434C"/>
    <w:rsid w:val="00DB4143"/>
    <w:rsid w:val="00DB7AF2"/>
    <w:rsid w:val="00DC1166"/>
    <w:rsid w:val="00DC335D"/>
    <w:rsid w:val="00DE33BF"/>
    <w:rsid w:val="00DF56D7"/>
    <w:rsid w:val="00E006EF"/>
    <w:rsid w:val="00E25F4A"/>
    <w:rsid w:val="00E3022B"/>
    <w:rsid w:val="00E32E03"/>
    <w:rsid w:val="00E350BA"/>
    <w:rsid w:val="00E40D81"/>
    <w:rsid w:val="00E435CB"/>
    <w:rsid w:val="00E677DF"/>
    <w:rsid w:val="00E828A5"/>
    <w:rsid w:val="00E84DB2"/>
    <w:rsid w:val="00E94978"/>
    <w:rsid w:val="00E95557"/>
    <w:rsid w:val="00EA446F"/>
    <w:rsid w:val="00EB6D90"/>
    <w:rsid w:val="00ED7C75"/>
    <w:rsid w:val="00EE046B"/>
    <w:rsid w:val="00EE256D"/>
    <w:rsid w:val="00EE4CBE"/>
    <w:rsid w:val="00EF016F"/>
    <w:rsid w:val="00EF36C5"/>
    <w:rsid w:val="00F01C60"/>
    <w:rsid w:val="00F05E0A"/>
    <w:rsid w:val="00F07216"/>
    <w:rsid w:val="00F10E66"/>
    <w:rsid w:val="00F14652"/>
    <w:rsid w:val="00F17301"/>
    <w:rsid w:val="00F22D9D"/>
    <w:rsid w:val="00F2453F"/>
    <w:rsid w:val="00F31DBA"/>
    <w:rsid w:val="00F42825"/>
    <w:rsid w:val="00F42973"/>
    <w:rsid w:val="00F46EA2"/>
    <w:rsid w:val="00F5374F"/>
    <w:rsid w:val="00F55E18"/>
    <w:rsid w:val="00F636DC"/>
    <w:rsid w:val="00F66D2B"/>
    <w:rsid w:val="00F7102E"/>
    <w:rsid w:val="00F81EB7"/>
    <w:rsid w:val="00F92080"/>
    <w:rsid w:val="00F933D2"/>
    <w:rsid w:val="00F93ECB"/>
    <w:rsid w:val="00F975AF"/>
    <w:rsid w:val="00FB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7F35F"/>
  <w15:docId w15:val="{35090B6C-4E8F-4C4F-9D9D-59A79F15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536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360B"/>
  </w:style>
  <w:style w:type="paragraph" w:styleId="Piedepgina">
    <w:name w:val="footer"/>
    <w:basedOn w:val="Normal"/>
    <w:link w:val="PiedepginaCar"/>
    <w:uiPriority w:val="99"/>
    <w:unhideWhenUsed/>
    <w:rsid w:val="00A536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60B"/>
  </w:style>
  <w:style w:type="character" w:customStyle="1" w:styleId="Ninguno">
    <w:name w:val="Ninguno"/>
    <w:rsid w:val="00F975AF"/>
  </w:style>
  <w:style w:type="paragraph" w:styleId="NormalWeb">
    <w:name w:val="Normal (Web)"/>
    <w:basedOn w:val="Normal"/>
    <w:uiPriority w:val="99"/>
    <w:unhideWhenUsed/>
    <w:rsid w:val="00F975AF"/>
    <w:pPr>
      <w:spacing w:before="100" w:beforeAutospacing="1" w:after="100" w:afterAutospacing="1"/>
    </w:pPr>
    <w:rPr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B705DD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E32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AF51B6"/>
    <w:rPr>
      <w:color w:val="605E5C"/>
      <w:shd w:val="clear" w:color="auto" w:fill="E1DFDD"/>
    </w:rPr>
  </w:style>
  <w:style w:type="paragraph" w:customStyle="1" w:styleId="CuerpoA">
    <w:name w:val="Cuerpo A"/>
    <w:rsid w:val="00AC282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s-ES_tradnl"/>
    </w:rPr>
  </w:style>
  <w:style w:type="paragraph" w:customStyle="1" w:styleId="CuerpoB">
    <w:name w:val="Cuerpo B"/>
    <w:rsid w:val="00AC282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es-ES_tradnl" w:eastAsia="es-ES_tradnl"/>
    </w:rPr>
  </w:style>
  <w:style w:type="paragraph" w:customStyle="1" w:styleId="Poromisin">
    <w:name w:val="Por omisión"/>
    <w:rsid w:val="00AC282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s-ES_tradnl" w:eastAsia="es-ES_tradnl"/>
    </w:rPr>
  </w:style>
  <w:style w:type="character" w:customStyle="1" w:styleId="Hyperlink1">
    <w:name w:val="Hyperlink.1"/>
    <w:basedOn w:val="Ninguno"/>
    <w:rsid w:val="00AC282A"/>
    <w:rPr>
      <w:rFonts w:ascii="Trebuchet MS" w:eastAsia="Trebuchet MS" w:hAnsi="Trebuchet MS" w:cs="Trebuchet MS"/>
      <w:color w:val="0000FF"/>
      <w:u w:val="single" w:color="0000FF"/>
      <w:lang w:val="it-IT"/>
    </w:rPr>
  </w:style>
  <w:style w:type="character" w:customStyle="1" w:styleId="Hyperlink2">
    <w:name w:val="Hyperlink.2"/>
    <w:basedOn w:val="Ninguno"/>
    <w:rsid w:val="00AC282A"/>
    <w:rPr>
      <w:rFonts w:ascii="Trebuchet MS" w:eastAsia="Trebuchet MS" w:hAnsi="Trebuchet MS" w:cs="Trebuchet MS"/>
      <w:color w:val="0000FF"/>
      <w:u w:val="single" w:color="0000FF"/>
      <w:lang w:val="pt-PT"/>
    </w:rPr>
  </w:style>
  <w:style w:type="character" w:styleId="Nmerodepgina">
    <w:name w:val="page number"/>
    <w:basedOn w:val="Fuentedeprrafopredeter"/>
    <w:uiPriority w:val="99"/>
    <w:semiHidden/>
    <w:unhideWhenUsed/>
    <w:rsid w:val="00B11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98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9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35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4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5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9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Aurora Ochoa</dc:creator>
  <cp:lastModifiedBy>Elena Anoro</cp:lastModifiedBy>
  <cp:revision>3</cp:revision>
  <cp:lastPrinted>2020-07-13T07:17:00Z</cp:lastPrinted>
  <dcterms:created xsi:type="dcterms:W3CDTF">2020-07-16T08:40:00Z</dcterms:created>
  <dcterms:modified xsi:type="dcterms:W3CDTF">2020-07-16T08:40:00Z</dcterms:modified>
</cp:coreProperties>
</file>